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8DCB" w14:textId="77777777" w:rsidR="002133D2" w:rsidRPr="008E1AD8" w:rsidRDefault="002133D2" w:rsidP="00C93AF9">
      <w:pPr>
        <w:suppressAutoHyphens/>
        <w:ind w:left="283" w:right="283"/>
        <w:jc w:val="center"/>
        <w:rPr>
          <w:rFonts w:ascii="Arial" w:eastAsia="Arial Unicode MS" w:hAnsi="Arial" w:cs="Arial"/>
          <w:b/>
          <w:bCs/>
          <w:lang w:eastAsia="es-ES"/>
        </w:rPr>
      </w:pPr>
      <w:bookmarkStart w:id="0" w:name="_Hlk174010144"/>
    </w:p>
    <w:bookmarkEnd w:id="0"/>
    <w:p w14:paraId="59F94E74" w14:textId="56F5115A" w:rsidR="00C93AF9" w:rsidRPr="00BE2AAF" w:rsidRDefault="00C93AF9" w:rsidP="00C93AF9">
      <w:pPr>
        <w:adjustRightInd w:val="0"/>
        <w:ind w:left="283" w:right="283"/>
        <w:jc w:val="center"/>
        <w:rPr>
          <w:rFonts w:ascii="Arial" w:hAnsi="Arial" w:cs="Arial"/>
          <w:i/>
          <w:iCs/>
          <w:sz w:val="24"/>
          <w:szCs w:val="24"/>
        </w:rPr>
      </w:pPr>
      <w:r w:rsidRPr="00BE2AAF">
        <w:rPr>
          <w:rFonts w:ascii="Arial" w:hAnsi="Arial" w:cs="Arial"/>
          <w:i/>
          <w:iCs/>
          <w:sz w:val="24"/>
          <w:szCs w:val="24"/>
        </w:rPr>
        <w:t>Por la cual se establecen las condiciones técnicas y operativas relativas a la Base de Datos Única de Afiliados – BDUA y al reconocimiento de recursos del aseguramiento en salud con relación a los afiliados fallecidos</w:t>
      </w:r>
      <w:r>
        <w:rPr>
          <w:rFonts w:ascii="Arial" w:hAnsi="Arial" w:cs="Arial"/>
          <w:i/>
          <w:iCs/>
          <w:sz w:val="24"/>
          <w:szCs w:val="24"/>
        </w:rPr>
        <w:t xml:space="preserve"> y se dictan otras disposiciones</w:t>
      </w:r>
    </w:p>
    <w:p w14:paraId="4C43AE4D" w14:textId="77777777" w:rsidR="00C93AF9" w:rsidRDefault="00C93AF9" w:rsidP="00C93AF9">
      <w:pPr>
        <w:adjustRightInd w:val="0"/>
        <w:ind w:left="283" w:right="283"/>
        <w:jc w:val="center"/>
        <w:rPr>
          <w:rFonts w:ascii="Arial" w:hAnsi="Arial" w:cs="Arial"/>
          <w:i/>
          <w:iCs/>
          <w:sz w:val="24"/>
          <w:szCs w:val="24"/>
        </w:rPr>
      </w:pPr>
    </w:p>
    <w:p w14:paraId="0C524EA3" w14:textId="77777777" w:rsidR="00C93AF9" w:rsidRPr="00BE2AAF" w:rsidRDefault="00C93AF9" w:rsidP="00C93AF9">
      <w:pPr>
        <w:adjustRightInd w:val="0"/>
        <w:ind w:left="283" w:right="283"/>
        <w:jc w:val="center"/>
        <w:rPr>
          <w:rFonts w:ascii="Arial" w:hAnsi="Arial" w:cs="Arial"/>
          <w:i/>
          <w:iCs/>
          <w:sz w:val="24"/>
          <w:szCs w:val="24"/>
        </w:rPr>
      </w:pPr>
    </w:p>
    <w:p w14:paraId="5B82AAF8" w14:textId="77777777" w:rsidR="00C93AF9" w:rsidRPr="00BE2AAF" w:rsidRDefault="00C93AF9" w:rsidP="00C93AF9">
      <w:pPr>
        <w:adjustRightInd w:val="0"/>
        <w:ind w:left="283" w:right="283"/>
        <w:jc w:val="center"/>
        <w:rPr>
          <w:rFonts w:ascii="Arial" w:hAnsi="Arial" w:cs="Arial"/>
          <w:b/>
          <w:bCs/>
          <w:color w:val="000000"/>
          <w:sz w:val="24"/>
          <w:szCs w:val="24"/>
        </w:rPr>
      </w:pPr>
      <w:r w:rsidRPr="00BE2AAF">
        <w:rPr>
          <w:rFonts w:ascii="Arial" w:hAnsi="Arial" w:cs="Arial"/>
          <w:b/>
          <w:bCs/>
          <w:sz w:val="24"/>
          <w:szCs w:val="24"/>
        </w:rPr>
        <w:t xml:space="preserve">EL DIRECTOR </w:t>
      </w:r>
      <w:r w:rsidRPr="00BE2AAF">
        <w:rPr>
          <w:rFonts w:ascii="Arial" w:hAnsi="Arial" w:cs="Arial"/>
          <w:b/>
          <w:bCs/>
          <w:color w:val="000000"/>
          <w:sz w:val="24"/>
          <w:szCs w:val="24"/>
        </w:rPr>
        <w:t>DE LA ADMINISTRADORA DE LOS RECURSOS DEL SISTEMA GENERAL DE SEGURIDAD SOCIAL EN SALUD – ADRES</w:t>
      </w:r>
    </w:p>
    <w:p w14:paraId="3EE5D49E" w14:textId="77777777" w:rsidR="00C93AF9" w:rsidRPr="00BE2AAF" w:rsidRDefault="00C93AF9" w:rsidP="00C93AF9">
      <w:pPr>
        <w:adjustRightInd w:val="0"/>
        <w:ind w:left="283" w:right="283"/>
        <w:jc w:val="center"/>
        <w:rPr>
          <w:rFonts w:ascii="Arial" w:hAnsi="Arial" w:cs="Arial"/>
          <w:color w:val="000000"/>
          <w:sz w:val="24"/>
          <w:szCs w:val="24"/>
        </w:rPr>
      </w:pPr>
    </w:p>
    <w:p w14:paraId="121A9A27" w14:textId="77777777" w:rsidR="00C93AF9" w:rsidRPr="00BE2AAF" w:rsidRDefault="00C93AF9" w:rsidP="00C93AF9">
      <w:pPr>
        <w:adjustRightInd w:val="0"/>
        <w:ind w:left="283" w:right="283"/>
        <w:jc w:val="center"/>
        <w:rPr>
          <w:rFonts w:ascii="Arial" w:hAnsi="Arial" w:cs="Arial"/>
          <w:color w:val="000000"/>
          <w:sz w:val="24"/>
          <w:szCs w:val="24"/>
        </w:rPr>
      </w:pPr>
    </w:p>
    <w:p w14:paraId="21987B19" w14:textId="77777777" w:rsidR="00C93AF9" w:rsidRPr="00BE2AAF" w:rsidRDefault="00C93AF9" w:rsidP="00C93AF9">
      <w:pPr>
        <w:adjustRightInd w:val="0"/>
        <w:ind w:left="283" w:right="283"/>
        <w:jc w:val="center"/>
        <w:rPr>
          <w:rFonts w:ascii="Arial" w:hAnsi="Arial" w:cs="Arial"/>
          <w:sz w:val="24"/>
          <w:szCs w:val="24"/>
        </w:rPr>
      </w:pPr>
      <w:r w:rsidRPr="00BE2AAF">
        <w:rPr>
          <w:rFonts w:ascii="Arial" w:hAnsi="Arial" w:cs="Arial"/>
          <w:sz w:val="24"/>
          <w:szCs w:val="24"/>
        </w:rPr>
        <w:t xml:space="preserve">En ejercicio de sus facultades, en especial, de las conferidas en el numeral 12 del artículo 9 del Decreto 1429 de 2016 y los artículos 66 de la Ley 1753 de 2015, 2.6.4.7.2 y 2.6.4.7.3 del Decreto 780 de 2016, en concordancia con los artículos 2.3.2.2.6, 2.6.4.3.1.1.1 y 2.6.4.3.2.2 del referido Decreto 780 y la Resolución 1716 de 2019 </w:t>
      </w:r>
    </w:p>
    <w:p w14:paraId="71B73902" w14:textId="77777777" w:rsidR="00C93AF9" w:rsidRPr="00BE2AAF" w:rsidRDefault="00C93AF9" w:rsidP="00C93AF9">
      <w:pPr>
        <w:ind w:left="283" w:right="283"/>
        <w:jc w:val="center"/>
        <w:rPr>
          <w:rFonts w:ascii="Arial" w:hAnsi="Arial" w:cs="Arial"/>
          <w:sz w:val="24"/>
          <w:szCs w:val="24"/>
        </w:rPr>
      </w:pPr>
    </w:p>
    <w:p w14:paraId="1D12F425" w14:textId="77777777" w:rsidR="00C93AF9" w:rsidRPr="00BE2AAF" w:rsidRDefault="00C93AF9" w:rsidP="00C93AF9">
      <w:pPr>
        <w:ind w:left="283" w:right="283"/>
        <w:jc w:val="center"/>
        <w:rPr>
          <w:rFonts w:ascii="Arial" w:hAnsi="Arial" w:cs="Arial"/>
          <w:sz w:val="24"/>
          <w:szCs w:val="24"/>
        </w:rPr>
      </w:pPr>
    </w:p>
    <w:p w14:paraId="7B2CF100" w14:textId="77777777" w:rsidR="00C93AF9" w:rsidRPr="00BE2AAF" w:rsidRDefault="00C93AF9" w:rsidP="00C93AF9">
      <w:pPr>
        <w:adjustRightInd w:val="0"/>
        <w:ind w:left="283" w:right="283"/>
        <w:jc w:val="center"/>
        <w:rPr>
          <w:rFonts w:ascii="Arial" w:hAnsi="Arial" w:cs="Arial"/>
          <w:b/>
          <w:color w:val="000000"/>
          <w:sz w:val="24"/>
          <w:szCs w:val="24"/>
        </w:rPr>
      </w:pPr>
      <w:r w:rsidRPr="00BE2AAF">
        <w:rPr>
          <w:rFonts w:ascii="Arial" w:hAnsi="Arial" w:cs="Arial"/>
          <w:b/>
          <w:color w:val="000000"/>
          <w:sz w:val="24"/>
          <w:szCs w:val="24"/>
        </w:rPr>
        <w:t>CONSIDERANDO:</w:t>
      </w:r>
    </w:p>
    <w:p w14:paraId="06268ABC" w14:textId="77777777" w:rsidR="00C93AF9" w:rsidRPr="00BE2AAF" w:rsidRDefault="00C93AF9" w:rsidP="00C93AF9">
      <w:pPr>
        <w:ind w:left="283" w:right="283"/>
        <w:jc w:val="both"/>
        <w:rPr>
          <w:rFonts w:ascii="Arial" w:hAnsi="Arial" w:cs="Arial"/>
          <w:sz w:val="24"/>
          <w:szCs w:val="24"/>
          <w:lang w:eastAsia="es-CO"/>
        </w:rPr>
      </w:pPr>
    </w:p>
    <w:p w14:paraId="0FA4F9FC" w14:textId="77777777" w:rsidR="00C93AF9" w:rsidRPr="00BE2AAF" w:rsidRDefault="00C93AF9" w:rsidP="00C93AF9">
      <w:pPr>
        <w:ind w:left="283" w:right="283"/>
        <w:jc w:val="both"/>
        <w:rPr>
          <w:rFonts w:ascii="Arial" w:hAnsi="Arial" w:cs="Arial"/>
          <w:sz w:val="24"/>
          <w:szCs w:val="24"/>
          <w:lang w:eastAsia="es-CO"/>
        </w:rPr>
      </w:pPr>
    </w:p>
    <w:p w14:paraId="4716E80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de conformidad con el artículo 66 de la Ley 1753 de 2015 la Administradora de los Recursos del Sistema General de Seguridad Social en Salud - ADRES es una entidad adscrita al Ministerio de Salud y Protección Social, cuya finalidad es garantizar el adecuado flujo y los respectivos controles de recursos del Sistema General de Seguridad Social en Salud - SGSSS.</w:t>
      </w:r>
    </w:p>
    <w:p w14:paraId="54D11AB4" w14:textId="77777777" w:rsidR="00C93AF9" w:rsidRPr="00BE2AAF" w:rsidRDefault="00C93AF9" w:rsidP="00C93AF9">
      <w:pPr>
        <w:ind w:left="283" w:right="283"/>
        <w:jc w:val="both"/>
        <w:rPr>
          <w:rFonts w:ascii="Arial" w:hAnsi="Arial" w:cs="Arial"/>
          <w:sz w:val="24"/>
          <w:szCs w:val="24"/>
          <w:lang w:eastAsia="es-CO"/>
        </w:rPr>
      </w:pPr>
    </w:p>
    <w:p w14:paraId="74FA5F60"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artículo 5 del Decreto Ley 1281 de 2002 "</w:t>
      </w:r>
      <w:r w:rsidRPr="00BE2AAF">
        <w:rPr>
          <w:rFonts w:ascii="Arial" w:hAnsi="Arial" w:cs="Arial"/>
          <w:i/>
          <w:iCs/>
          <w:lang w:eastAsia="es-CO"/>
        </w:rPr>
        <w:t>Por el cual se expiden las normas que regulan los flujos de caja y la utilización oportuna y eficiente de los recursos del sector salud y su utilización en la prestación"</w:t>
      </w:r>
      <w:r w:rsidRPr="00BE2AAF">
        <w:rPr>
          <w:rFonts w:ascii="Arial" w:hAnsi="Arial" w:cs="Arial"/>
          <w:sz w:val="24"/>
          <w:szCs w:val="24"/>
          <w:lang w:eastAsia="es-CO"/>
        </w:rPr>
        <w:t xml:space="preserve"> dispone que quienes administren recursos del sector salud y, quienes manejen información sobre la población incluyendo los regímenes Especial o de Excepción del Sistema General de Seguridad Social en Salud, harán parte del Sistema Integral de Información del Sector Salud para el control de la afiliación, del estado de salud de la población y de los recursos y responderán por su reporte oportuno, confiable y efectivo de conformidad con las disposiciones legales y los requerimientos del Ministerio de Salud y Protección Social.</w:t>
      </w:r>
    </w:p>
    <w:p w14:paraId="4429ECF9" w14:textId="77777777" w:rsidR="00C93AF9" w:rsidRPr="00BE2AAF" w:rsidRDefault="00C93AF9" w:rsidP="00C93AF9">
      <w:pPr>
        <w:ind w:left="283" w:right="283"/>
        <w:jc w:val="both"/>
        <w:rPr>
          <w:rFonts w:ascii="Arial" w:hAnsi="Arial" w:cs="Arial"/>
          <w:sz w:val="24"/>
          <w:szCs w:val="24"/>
          <w:lang w:eastAsia="es-CO"/>
        </w:rPr>
      </w:pPr>
    </w:p>
    <w:p w14:paraId="1774D31E"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artículo 6 de la mencionada Ley establece que la Registraduría Nacional del Estado Civil, las Cámaras de Comercio, las entidades que administran Regímenes de Excepción de la Ley 100 de 1993 y todas aquellas que manejen información que resulte útil para evitar pagos indebidos con recursos del sector salud, deberán suministrar la información y las bases de datos que administren con la oportunidad que la requiera el Ministerio de Salud y Protección Social.</w:t>
      </w:r>
    </w:p>
    <w:p w14:paraId="77D3E463" w14:textId="77777777" w:rsidR="00C93AF9" w:rsidRPr="00BE2AAF" w:rsidRDefault="00C93AF9" w:rsidP="00C93AF9">
      <w:pPr>
        <w:ind w:left="283" w:right="283"/>
        <w:jc w:val="both"/>
        <w:rPr>
          <w:rFonts w:ascii="Arial" w:hAnsi="Arial" w:cs="Arial"/>
          <w:sz w:val="24"/>
          <w:szCs w:val="24"/>
          <w:lang w:eastAsia="es-CO"/>
        </w:rPr>
      </w:pPr>
    </w:p>
    <w:p w14:paraId="16ED968A" w14:textId="77777777" w:rsidR="00C93AF9" w:rsidRPr="00BE2AAF" w:rsidRDefault="00C93AF9" w:rsidP="00C93AF9">
      <w:pPr>
        <w:ind w:left="283" w:right="283"/>
        <w:jc w:val="both"/>
        <w:rPr>
          <w:rFonts w:ascii="Arial" w:hAnsi="Arial" w:cs="Arial"/>
          <w:i/>
          <w:iCs/>
          <w:lang w:eastAsia="es-CO"/>
        </w:rPr>
      </w:pPr>
      <w:r w:rsidRPr="00BE2AAF">
        <w:rPr>
          <w:rFonts w:ascii="Arial" w:hAnsi="Arial" w:cs="Arial"/>
          <w:sz w:val="24"/>
          <w:szCs w:val="24"/>
          <w:lang w:eastAsia="es-CO"/>
        </w:rPr>
        <w:t xml:space="preserve">Que el artículo 21 del Decreto Ley 019 de 2012 establece que </w:t>
      </w:r>
      <w:r w:rsidRPr="00BE2AAF">
        <w:rPr>
          <w:rFonts w:ascii="Arial" w:hAnsi="Arial" w:cs="Arial"/>
          <w:i/>
          <w:iCs/>
          <w:lang w:eastAsia="es-CO"/>
        </w:rPr>
        <w:t xml:space="preserve">“La Registraduría Nacional del Estado Civil </w:t>
      </w:r>
      <w:proofErr w:type="spellStart"/>
      <w:r w:rsidRPr="00BE2AAF">
        <w:rPr>
          <w:rFonts w:ascii="Arial" w:hAnsi="Arial" w:cs="Arial"/>
          <w:i/>
          <w:iCs/>
          <w:lang w:eastAsia="es-CO"/>
        </w:rPr>
        <w:t>inter-operará</w:t>
      </w:r>
      <w:proofErr w:type="spellEnd"/>
      <w:r w:rsidRPr="00BE2AAF">
        <w:rPr>
          <w:rFonts w:ascii="Arial" w:hAnsi="Arial" w:cs="Arial"/>
          <w:i/>
          <w:iCs/>
          <w:lang w:eastAsia="es-CO"/>
        </w:rPr>
        <w:t xml:space="preserve"> la base de datos del Registro Civil de Defunción con el sistema de información Ministerio de Salud y Protección Social y con los que defina el Gobierno Nacional, para que a través del Ministerio sea consultada en línea por las entidades de seguridad social (…)”.</w:t>
      </w:r>
    </w:p>
    <w:p w14:paraId="33B4E741" w14:textId="77777777" w:rsidR="00C93AF9" w:rsidRPr="00BE2AAF" w:rsidRDefault="00C93AF9" w:rsidP="00C93AF9">
      <w:pPr>
        <w:ind w:left="283" w:right="283"/>
        <w:jc w:val="both"/>
        <w:rPr>
          <w:rFonts w:ascii="Arial" w:hAnsi="Arial" w:cs="Arial"/>
          <w:i/>
          <w:iCs/>
          <w:lang w:eastAsia="es-CO"/>
        </w:rPr>
      </w:pPr>
    </w:p>
    <w:p w14:paraId="3E186827"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 xml:space="preserve">Que, con relación a la información de afiliación del Sistema Integral de Información del Sector Salud, el Ministerio de Salud y Protección Social expidió la Resolución 1133 de 2021 en la cual estableció </w:t>
      </w:r>
      <w:r w:rsidRPr="00BE2AAF">
        <w:rPr>
          <w:rFonts w:ascii="Arial" w:hAnsi="Arial" w:cs="Arial"/>
          <w:i/>
          <w:iCs/>
        </w:rPr>
        <w:t>“las reglas generales de operación de las bases de datos de afiliación y reporte de novedades del Sistema Integral de Información del Sector Salud”</w:t>
      </w:r>
      <w:r w:rsidRPr="00BE2AAF">
        <w:rPr>
          <w:rFonts w:ascii="Arial" w:hAnsi="Arial" w:cs="Arial"/>
          <w:sz w:val="24"/>
          <w:szCs w:val="24"/>
        </w:rPr>
        <w:t>.</w:t>
      </w:r>
    </w:p>
    <w:p w14:paraId="49607B35" w14:textId="77777777" w:rsidR="00C93AF9" w:rsidRPr="00BE2AAF" w:rsidRDefault="00C93AF9" w:rsidP="00C93AF9">
      <w:pPr>
        <w:ind w:left="283" w:right="283"/>
        <w:jc w:val="both"/>
        <w:rPr>
          <w:rFonts w:ascii="Arial" w:hAnsi="Arial" w:cs="Arial"/>
          <w:sz w:val="24"/>
          <w:szCs w:val="24"/>
        </w:rPr>
      </w:pPr>
    </w:p>
    <w:p w14:paraId="15636E55"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Que el parágrafo 2 del artículo 10 de la Resolución 1133 de 2021 establece que la ADRES realizará el bloqueo para el reconocimiento de recursos del aseguramiento, cuando detecte inconsistencias en la información reportada a la BDUA.</w:t>
      </w:r>
    </w:p>
    <w:p w14:paraId="228C70B2" w14:textId="77777777" w:rsidR="00C93AF9" w:rsidRPr="00BE2AAF" w:rsidRDefault="00C93AF9" w:rsidP="00C93AF9">
      <w:pPr>
        <w:ind w:left="283" w:right="283"/>
        <w:jc w:val="both"/>
        <w:rPr>
          <w:rFonts w:ascii="Arial" w:hAnsi="Arial" w:cs="Arial"/>
          <w:sz w:val="24"/>
          <w:szCs w:val="24"/>
        </w:rPr>
      </w:pPr>
    </w:p>
    <w:p w14:paraId="00CC30E3" w14:textId="77777777" w:rsidR="00C93AF9" w:rsidRDefault="00C93AF9" w:rsidP="00C93AF9">
      <w:pPr>
        <w:ind w:left="283" w:right="283"/>
        <w:jc w:val="both"/>
        <w:rPr>
          <w:rFonts w:ascii="Arial" w:hAnsi="Arial" w:cs="Arial"/>
          <w:sz w:val="24"/>
          <w:szCs w:val="24"/>
        </w:rPr>
      </w:pPr>
      <w:r w:rsidRPr="00BE2AAF">
        <w:rPr>
          <w:rFonts w:ascii="Arial" w:hAnsi="Arial" w:cs="Arial"/>
          <w:sz w:val="24"/>
          <w:szCs w:val="24"/>
        </w:rPr>
        <w:t>Que, en cumplimiento del artículo 17 de la Resolución 1133 de 2021, la ADRES expidió la Resolución 762 de 2023 “</w:t>
      </w:r>
      <w:r w:rsidRPr="00BE2AAF">
        <w:rPr>
          <w:rFonts w:ascii="Arial" w:hAnsi="Arial" w:cs="Arial"/>
          <w:i/>
          <w:iCs/>
        </w:rPr>
        <w:t>Por la cual se adopta el anexo técnico, los lineamientos y especificaciones técnicas y operativas para el reporte y actualización de las bases de datos de afiliación que opera la Administradora de los Recursos del Sistema General de Seguridad Social en Salud - ADRES</w:t>
      </w:r>
      <w:r w:rsidRPr="00BE2AAF">
        <w:rPr>
          <w:rFonts w:ascii="Arial" w:hAnsi="Arial" w:cs="Arial"/>
        </w:rPr>
        <w:t>”.</w:t>
      </w:r>
      <w:r w:rsidRPr="00BE2AAF">
        <w:rPr>
          <w:rFonts w:ascii="Arial" w:hAnsi="Arial" w:cs="Arial"/>
          <w:sz w:val="24"/>
          <w:szCs w:val="24"/>
        </w:rPr>
        <w:t xml:space="preserve"> </w:t>
      </w:r>
    </w:p>
    <w:p w14:paraId="479B644F" w14:textId="77777777" w:rsidR="00C93AF9" w:rsidRDefault="00C93AF9" w:rsidP="00C93AF9">
      <w:pPr>
        <w:ind w:left="283" w:right="283"/>
        <w:jc w:val="both"/>
        <w:rPr>
          <w:rFonts w:ascii="Arial" w:hAnsi="Arial" w:cs="Arial"/>
          <w:sz w:val="24"/>
          <w:szCs w:val="24"/>
        </w:rPr>
      </w:pPr>
    </w:p>
    <w:p w14:paraId="29AA83D8" w14:textId="060F8E5B" w:rsidR="00C93AF9" w:rsidRPr="00BE2AAF" w:rsidRDefault="00C93AF9" w:rsidP="00C93AF9">
      <w:pPr>
        <w:ind w:left="283" w:right="283"/>
        <w:jc w:val="both"/>
        <w:rPr>
          <w:rFonts w:ascii="Arial" w:hAnsi="Arial" w:cs="Arial"/>
          <w:sz w:val="24"/>
          <w:szCs w:val="24"/>
        </w:rPr>
      </w:pPr>
      <w:r>
        <w:rPr>
          <w:rFonts w:ascii="Arial" w:hAnsi="Arial" w:cs="Arial"/>
          <w:sz w:val="24"/>
          <w:szCs w:val="24"/>
        </w:rPr>
        <w:t>Que entre las novedades que ap</w:t>
      </w:r>
      <w:r w:rsidRPr="00C93AF9">
        <w:rPr>
          <w:rFonts w:ascii="Arial" w:hAnsi="Arial" w:cs="Arial"/>
          <w:sz w:val="24"/>
          <w:szCs w:val="24"/>
        </w:rPr>
        <w:t>lican para afiliados registrados en las bases de datos BDUA, BDEX,</w:t>
      </w:r>
      <w:r>
        <w:rPr>
          <w:rFonts w:ascii="Arial" w:hAnsi="Arial" w:cs="Arial"/>
          <w:sz w:val="24"/>
          <w:szCs w:val="24"/>
        </w:rPr>
        <w:t xml:space="preserve"> </w:t>
      </w:r>
      <w:r w:rsidRPr="00C93AF9">
        <w:rPr>
          <w:rFonts w:ascii="Arial" w:hAnsi="Arial" w:cs="Arial"/>
          <w:sz w:val="24"/>
          <w:szCs w:val="24"/>
        </w:rPr>
        <w:t>BDPVS o BDINPEC</w:t>
      </w:r>
      <w:r>
        <w:rPr>
          <w:rFonts w:ascii="Arial" w:hAnsi="Arial" w:cs="Arial"/>
          <w:sz w:val="24"/>
          <w:szCs w:val="24"/>
        </w:rPr>
        <w:t xml:space="preserve"> se encuentra la novedad de “Retiro por muerte” identificada con el código N09 dispuesta en la Resolución 762 de 2023, la cual, en todo caso debe ser consistente con la información de la fecha de fallecimiento, de manera que se permita el reconocimiento para ese día.</w:t>
      </w:r>
    </w:p>
    <w:p w14:paraId="347C2E3C" w14:textId="77777777" w:rsidR="00C93AF9" w:rsidRPr="00BE2AAF" w:rsidRDefault="00C93AF9" w:rsidP="00C93AF9">
      <w:pPr>
        <w:ind w:left="283" w:right="283"/>
        <w:jc w:val="both"/>
        <w:rPr>
          <w:rFonts w:ascii="Arial" w:hAnsi="Arial" w:cs="Arial"/>
          <w:sz w:val="24"/>
          <w:szCs w:val="24"/>
          <w:lang w:eastAsia="es-CO"/>
        </w:rPr>
      </w:pPr>
    </w:p>
    <w:p w14:paraId="1B068F5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para el desarrollo de su objeto, el Legislador asignó a la ADRES la función de efectuar la liquidación, reconocimiento y giro de las Unidades de Pago por Capitación y demás recursos del aseguramiento obligatorio en salud, labor que, para el caso del régimen contributivo de salud, se ejecuta en el proceso de compensación y en régimen subsidiado en la Liquidación Mensual de Afiliados.</w:t>
      </w:r>
    </w:p>
    <w:p w14:paraId="65B6A069" w14:textId="77777777" w:rsidR="00C93AF9" w:rsidRPr="00BE2AAF" w:rsidRDefault="00C93AF9" w:rsidP="00C93AF9">
      <w:pPr>
        <w:ind w:left="283" w:right="283"/>
        <w:jc w:val="both"/>
        <w:rPr>
          <w:rFonts w:ascii="Arial" w:hAnsi="Arial" w:cs="Arial"/>
          <w:sz w:val="24"/>
          <w:szCs w:val="24"/>
          <w:lang w:eastAsia="es-CO"/>
        </w:rPr>
      </w:pPr>
    </w:p>
    <w:p w14:paraId="2A34D87D"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proceso de compensación se encuentra reglado en el Decreto 780 de 2016, artículos 2.6.4.3.1.1.1 a 2.6.4.3.1.1.8, disposiciones que enmarcan los subprocesos PILA - Financiero, PILA - BDUA, corrección de registros inconsistentes y transferencia de cotizaciones, devolución de cotizaciones y, liquidación y corrección de registros compensados.</w:t>
      </w:r>
    </w:p>
    <w:p w14:paraId="48620AA0" w14:textId="77777777" w:rsidR="00C93AF9" w:rsidRPr="00BE2AAF" w:rsidRDefault="00C93AF9" w:rsidP="00C93AF9">
      <w:pPr>
        <w:ind w:left="283" w:right="283"/>
        <w:jc w:val="both"/>
        <w:rPr>
          <w:rFonts w:ascii="Arial" w:hAnsi="Arial" w:cs="Arial"/>
          <w:sz w:val="24"/>
          <w:szCs w:val="24"/>
          <w:lang w:eastAsia="es-CO"/>
        </w:rPr>
      </w:pPr>
    </w:p>
    <w:p w14:paraId="743E8672"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 xml:space="preserve">Que, para el caso del régimen subsidiado en salud, la liquidación y reconocimiento de la Unidad de Pago por Capitación – UPC, se ejecuta en la Liquidación Mensual de Afiliados – LMA. </w:t>
      </w:r>
    </w:p>
    <w:p w14:paraId="1DB8B9F4" w14:textId="77777777" w:rsidR="00C93AF9" w:rsidRPr="00BE2AAF" w:rsidRDefault="00C93AF9" w:rsidP="00C93AF9">
      <w:pPr>
        <w:ind w:left="283" w:right="283"/>
        <w:jc w:val="both"/>
        <w:rPr>
          <w:rFonts w:ascii="Arial" w:hAnsi="Arial" w:cs="Arial"/>
          <w:sz w:val="24"/>
          <w:szCs w:val="24"/>
          <w:lang w:eastAsia="es-CO"/>
        </w:rPr>
      </w:pPr>
    </w:p>
    <w:p w14:paraId="52C286E7"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la Liquidación Mensual de Afiliados – LMA se encuentra definida en los artículos 2.3.2.2.6 y 2.6.4.3.2.2 del Decreto 780 de 2016, en los que se determina que el resultado de este proceso se genera con fundamento en la información de la Base de Datos Única de Afiliados – BDUA.</w:t>
      </w:r>
    </w:p>
    <w:p w14:paraId="0BBE2DC7" w14:textId="77777777" w:rsidR="00C93AF9" w:rsidRPr="00BE2AAF" w:rsidRDefault="00C93AF9" w:rsidP="00C93AF9">
      <w:pPr>
        <w:ind w:left="283" w:right="283"/>
        <w:jc w:val="both"/>
        <w:rPr>
          <w:rFonts w:ascii="Arial" w:hAnsi="Arial" w:cs="Arial"/>
          <w:sz w:val="24"/>
          <w:szCs w:val="24"/>
          <w:lang w:eastAsia="es-CO"/>
        </w:rPr>
      </w:pPr>
    </w:p>
    <w:p w14:paraId="19EEE750"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en cumplimiento de las funciones otorgadas por el legislador a esta Entidad como administradora de los recursos del SGSSS y en procura de la protección de estos recursos, tal como indica el artículo 15 del Decreto Ley 1281 de 2002 y, de conformidad con el artículo 7 de la Ley 1949 de 2019 que modificó el artículo 3 del Decreto Ley 1281 de 2002 y los artículos 2.6.4.5.1, 2.6.4.5.2 y 2.6.4.5.3 del Decreto 780 de 2016, se ejecutan auditorías a la BDUA que, permiten validar la información reportada por las EPS y EOC y depurar las presuntas inconsistencias detectadas, con base en lo suministrado por el Ministerio de Salud y Protección Social y por la Registraduría Nacional del Estado Civil entre otras, ante la eventualidad que se presenten apropiaciones sin justa causa, originadas fundamentalmente en el dinamismo de las bases de datos que constituyen el insumo de los procesos de reconocimiento y giro de recursos del aseguramiento.</w:t>
      </w:r>
    </w:p>
    <w:p w14:paraId="7D2CAE7E" w14:textId="77777777" w:rsidR="00C93AF9" w:rsidRPr="00BE2AAF" w:rsidRDefault="00C93AF9" w:rsidP="00C93AF9">
      <w:pPr>
        <w:ind w:left="283" w:right="283"/>
        <w:jc w:val="both"/>
        <w:rPr>
          <w:rFonts w:ascii="Arial" w:hAnsi="Arial" w:cs="Arial"/>
          <w:sz w:val="24"/>
          <w:szCs w:val="24"/>
          <w:lang w:eastAsia="es-CO"/>
        </w:rPr>
      </w:pPr>
    </w:p>
    <w:p w14:paraId="362F0E16"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 xml:space="preserve">Que según lo expuesto y, la competencia otorgada a la Entidad, el procedimiento administrativo especial fue reglamentado por el Ministerio de Salud y Protección Social con la Resolución 3361 de 2013 en su momento y en la actualidad por las Resoluciones 4895 de 2015, 1716 de 2019 y 995 de 2022, expedidas por el Ministerio de Salud y </w:t>
      </w:r>
      <w:r w:rsidRPr="00BE2AAF">
        <w:rPr>
          <w:rFonts w:ascii="Arial" w:hAnsi="Arial" w:cs="Arial"/>
          <w:sz w:val="24"/>
          <w:szCs w:val="24"/>
          <w:lang w:eastAsia="es-CO"/>
        </w:rPr>
        <w:lastRenderedPageBreak/>
        <w:t>Protección Social, con las cuales determina el procedimiento de reintegro de recursos del SGSSS apropiados o reconocidos sin justa causa, define el ámbito de aplicación y quien debe dar inicio al mismo, así como las etapas y los términos del procedimiento, con el fin de garantizar el derecho de defensa y contradicción de las EPS, en el marco del derecho constitucional al debido proceso.</w:t>
      </w:r>
    </w:p>
    <w:p w14:paraId="463C34A3" w14:textId="77777777" w:rsidR="00C93AF9" w:rsidRPr="00BE2AAF" w:rsidRDefault="00C93AF9" w:rsidP="00C93AF9">
      <w:pPr>
        <w:ind w:left="283" w:right="283"/>
        <w:jc w:val="both"/>
        <w:rPr>
          <w:rFonts w:ascii="Arial" w:hAnsi="Arial" w:cs="Arial"/>
          <w:sz w:val="24"/>
          <w:szCs w:val="24"/>
          <w:lang w:eastAsia="es-CO"/>
        </w:rPr>
      </w:pPr>
    </w:p>
    <w:p w14:paraId="0EBC3878" w14:textId="77777777" w:rsidR="00C93AF9" w:rsidRPr="00BE2AAF" w:rsidRDefault="00C93AF9" w:rsidP="00C93AF9">
      <w:pPr>
        <w:ind w:left="283" w:right="283"/>
        <w:jc w:val="both"/>
        <w:rPr>
          <w:rFonts w:ascii="Arial" w:hAnsi="Arial" w:cs="Arial"/>
          <w:sz w:val="24"/>
          <w:szCs w:val="24"/>
          <w:lang w:eastAsia="es-CO"/>
        </w:rPr>
      </w:pPr>
      <w:r w:rsidRPr="00BE2AAF">
        <w:rPr>
          <w:rFonts w:ascii="Arial" w:hAnsi="Arial" w:cs="Arial"/>
          <w:sz w:val="24"/>
          <w:szCs w:val="24"/>
          <w:lang w:eastAsia="es-CO"/>
        </w:rPr>
        <w:t>Que, el reconocimiento de las UPC es un proceso que está en constante validación por parte de la ADRES que producto de ello, genera los resultados que son retroalimentados a las EPS mediante la herramienta tecnológica dispuesta para este fin, a partir de los cuales se identifican las causales que presentan hallazgos, entre estas Fallecidos - RNEC.</w:t>
      </w:r>
    </w:p>
    <w:p w14:paraId="65CF129B" w14:textId="77777777" w:rsidR="00C93AF9" w:rsidRPr="00BE2AAF" w:rsidRDefault="00C93AF9" w:rsidP="00C93AF9">
      <w:pPr>
        <w:ind w:left="283" w:right="283"/>
        <w:jc w:val="both"/>
        <w:rPr>
          <w:rFonts w:ascii="Arial" w:hAnsi="Arial" w:cs="Arial"/>
          <w:sz w:val="24"/>
          <w:szCs w:val="24"/>
          <w:lang w:eastAsia="es-CO"/>
        </w:rPr>
      </w:pPr>
    </w:p>
    <w:p w14:paraId="5409BB4B" w14:textId="77777777" w:rsidR="00C93AF9" w:rsidRPr="00BE2AAF" w:rsidRDefault="00C93AF9" w:rsidP="00C93AF9">
      <w:pPr>
        <w:ind w:left="283" w:right="283"/>
        <w:jc w:val="both"/>
        <w:rPr>
          <w:rFonts w:ascii="Arial" w:hAnsi="Arial" w:cs="Arial"/>
          <w:sz w:val="28"/>
          <w:szCs w:val="28"/>
        </w:rPr>
      </w:pPr>
      <w:r w:rsidRPr="00BE2AAF">
        <w:rPr>
          <w:rFonts w:ascii="Arial" w:hAnsi="Arial" w:cs="Arial"/>
          <w:sz w:val="24"/>
          <w:szCs w:val="24"/>
        </w:rPr>
        <w:t xml:space="preserve">Que, la ADRES solicitó al Ministerio de Salud y Protección Social concepto jurídico respecto al reintegro de reconocimientos por afiliados fallecidos, en respuesta ese Ministerio indicó en la comunicación No. 202311601448721, entre otros, que, </w:t>
      </w:r>
      <w:r w:rsidRPr="00BE2AAF">
        <w:rPr>
          <w:rFonts w:ascii="Arial" w:hAnsi="Arial" w:cs="Arial"/>
          <w:i/>
          <w:iCs/>
        </w:rPr>
        <w:t xml:space="preserve">“la ADRES es un organismo de naturaleza especial del nivel descentralizado, con personería jurídica, autonomía administrativa y financiera, la cual, es competente para adoptar y desarrollar los mecanismos y especificaciones técnicas que considere pertinentes para el adecuado uso, flujo y control de los recursos de la salud”, </w:t>
      </w:r>
      <w:r w:rsidRPr="00BE2AAF">
        <w:rPr>
          <w:rFonts w:ascii="Arial" w:hAnsi="Arial" w:cs="Arial"/>
          <w:sz w:val="24"/>
          <w:szCs w:val="24"/>
        </w:rPr>
        <w:t xml:space="preserve">así mismo, señaló que según el artículo 66 de la Ley 1753 de 2015 y los artículos 2.6.4.1.2 y 2.6.4.1.3 del Decreto 780 de 2016, la ADRES ostenta la competencia para definir si en el marco de los procesos de reconocimiento es procedente ordenar el reintegro de los recursos desde el día siguiente al fallecimiento del afiliado. </w:t>
      </w:r>
    </w:p>
    <w:p w14:paraId="1463172C" w14:textId="77777777" w:rsidR="00C93AF9" w:rsidRPr="00BE2AAF" w:rsidRDefault="00C93AF9" w:rsidP="00C93AF9">
      <w:pPr>
        <w:ind w:left="283" w:right="283"/>
        <w:jc w:val="both"/>
        <w:rPr>
          <w:rFonts w:ascii="Arial" w:hAnsi="Arial" w:cs="Arial"/>
          <w:lang w:eastAsia="es-CO"/>
        </w:rPr>
      </w:pPr>
    </w:p>
    <w:p w14:paraId="387CAE2E"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lang w:eastAsia="es-CO"/>
        </w:rPr>
        <w:t xml:space="preserve">Que, teniendo en cuenta lo expuesto, resulta necesario que esta Entidad Administradora, establezca las condiciones técnicas y operativas relativas a la actualización de la Base de Datos Única de Afiliados – BDUA y al reconocimiento de recursos del aseguramiento en salud con relación a los afiliados fallecidos, </w:t>
      </w:r>
    </w:p>
    <w:p w14:paraId="2232E138" w14:textId="77777777" w:rsidR="00C93AF9" w:rsidRPr="00BE2AAF" w:rsidRDefault="00C93AF9" w:rsidP="00C93AF9">
      <w:pPr>
        <w:ind w:left="283" w:right="283"/>
        <w:jc w:val="both"/>
        <w:rPr>
          <w:rFonts w:ascii="Arial" w:hAnsi="Arial" w:cs="Arial"/>
          <w:sz w:val="24"/>
          <w:szCs w:val="24"/>
          <w:lang w:eastAsia="es-CO"/>
        </w:rPr>
      </w:pPr>
    </w:p>
    <w:p w14:paraId="14F6F843"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 xml:space="preserve">En mérito de lo expuesto, </w:t>
      </w:r>
    </w:p>
    <w:p w14:paraId="2988560B" w14:textId="77777777" w:rsidR="00C93AF9" w:rsidRDefault="00C93AF9" w:rsidP="00C93AF9">
      <w:pPr>
        <w:ind w:left="283" w:right="283"/>
        <w:jc w:val="both"/>
        <w:rPr>
          <w:rFonts w:ascii="Arial" w:hAnsi="Arial" w:cs="Arial"/>
          <w:sz w:val="24"/>
          <w:szCs w:val="24"/>
        </w:rPr>
      </w:pPr>
    </w:p>
    <w:p w14:paraId="60E45F5E" w14:textId="77777777" w:rsidR="00C93AF9" w:rsidRPr="00BE2AAF" w:rsidRDefault="00C93AF9" w:rsidP="00C93AF9">
      <w:pPr>
        <w:ind w:left="283" w:right="283"/>
        <w:jc w:val="both"/>
        <w:rPr>
          <w:rFonts w:ascii="Arial" w:hAnsi="Arial" w:cs="Arial"/>
          <w:sz w:val="24"/>
          <w:szCs w:val="24"/>
        </w:rPr>
      </w:pPr>
    </w:p>
    <w:p w14:paraId="6E59A39C"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RESUELVE</w:t>
      </w:r>
    </w:p>
    <w:p w14:paraId="7FE679AD" w14:textId="77777777" w:rsidR="00C93AF9" w:rsidRPr="00BE2AAF" w:rsidRDefault="00C93AF9" w:rsidP="00C93AF9">
      <w:pPr>
        <w:ind w:left="283" w:right="283"/>
        <w:jc w:val="both"/>
        <w:rPr>
          <w:rFonts w:ascii="Arial" w:hAnsi="Arial" w:cs="Arial"/>
          <w:sz w:val="24"/>
          <w:szCs w:val="24"/>
        </w:rPr>
      </w:pPr>
    </w:p>
    <w:p w14:paraId="47D6D22A" w14:textId="77777777" w:rsidR="00C93AF9" w:rsidRPr="00BE2AAF" w:rsidRDefault="00C93AF9" w:rsidP="00C93AF9">
      <w:pPr>
        <w:ind w:left="283" w:right="283"/>
        <w:jc w:val="both"/>
        <w:rPr>
          <w:rFonts w:ascii="Arial" w:hAnsi="Arial" w:cs="Arial"/>
          <w:sz w:val="24"/>
          <w:szCs w:val="24"/>
        </w:rPr>
      </w:pPr>
    </w:p>
    <w:p w14:paraId="174979E4"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1</w:t>
      </w:r>
    </w:p>
    <w:p w14:paraId="78D5D121"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ASPECTOS GENERALES</w:t>
      </w:r>
    </w:p>
    <w:p w14:paraId="3DC4CCC2" w14:textId="77777777" w:rsidR="00C93AF9" w:rsidRDefault="00C93AF9" w:rsidP="00C93AF9">
      <w:pPr>
        <w:ind w:left="283" w:right="283"/>
        <w:jc w:val="center"/>
        <w:rPr>
          <w:rFonts w:ascii="Arial" w:hAnsi="Arial" w:cs="Arial"/>
          <w:b/>
          <w:bCs/>
          <w:sz w:val="24"/>
          <w:szCs w:val="24"/>
        </w:rPr>
      </w:pPr>
    </w:p>
    <w:p w14:paraId="1DA31A03" w14:textId="77777777" w:rsidR="00C93AF9" w:rsidRPr="00BE2AAF" w:rsidRDefault="00C93AF9" w:rsidP="00C93AF9">
      <w:pPr>
        <w:ind w:left="283" w:right="283"/>
        <w:jc w:val="center"/>
        <w:rPr>
          <w:rFonts w:ascii="Arial" w:hAnsi="Arial" w:cs="Arial"/>
          <w:b/>
          <w:bCs/>
          <w:sz w:val="24"/>
          <w:szCs w:val="24"/>
        </w:rPr>
      </w:pPr>
    </w:p>
    <w:p w14:paraId="41F00C5D"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w:t>
      </w:r>
      <w:r w:rsidRPr="00BE2AAF">
        <w:rPr>
          <w:rFonts w:ascii="Arial" w:hAnsi="Arial" w:cs="Arial"/>
          <w:b/>
          <w:spacing w:val="-13"/>
          <w:sz w:val="24"/>
          <w:szCs w:val="24"/>
        </w:rPr>
        <w:t xml:space="preserve"> </w:t>
      </w:r>
      <w:r w:rsidRPr="00BE2AAF">
        <w:rPr>
          <w:rFonts w:ascii="Arial" w:hAnsi="Arial" w:cs="Arial"/>
          <w:b/>
          <w:sz w:val="24"/>
          <w:szCs w:val="24"/>
        </w:rPr>
        <w:t xml:space="preserve">1. </w:t>
      </w:r>
      <w:r w:rsidRPr="00BE2AAF">
        <w:rPr>
          <w:rFonts w:ascii="Arial" w:hAnsi="Arial" w:cs="Arial"/>
          <w:bCs/>
          <w:i/>
          <w:iCs/>
          <w:sz w:val="24"/>
          <w:szCs w:val="24"/>
        </w:rPr>
        <w:t>Objeto</w:t>
      </w:r>
      <w:r w:rsidRPr="00BE2AAF">
        <w:rPr>
          <w:rFonts w:ascii="Arial" w:hAnsi="Arial" w:cs="Arial"/>
          <w:bCs/>
          <w:sz w:val="24"/>
          <w:szCs w:val="24"/>
        </w:rPr>
        <w:t>.</w:t>
      </w:r>
      <w:r w:rsidRPr="00BE2AAF">
        <w:rPr>
          <w:rFonts w:ascii="Arial" w:hAnsi="Arial" w:cs="Arial"/>
          <w:b/>
          <w:sz w:val="24"/>
          <w:szCs w:val="24"/>
        </w:rPr>
        <w:t xml:space="preserve"> </w:t>
      </w:r>
      <w:r w:rsidRPr="00BE2AAF">
        <w:rPr>
          <w:rFonts w:ascii="Arial" w:hAnsi="Arial" w:cs="Arial"/>
          <w:bCs/>
          <w:sz w:val="24"/>
          <w:szCs w:val="24"/>
        </w:rPr>
        <w:t>La presente Resolución tiene por objeto establecer las condiciones técnicas y operativas relativas a la Base de Datos Única de Afiliados – BDUA y al reconocimiento de recursos del aseguramiento en salud con relación a los fallecidos.</w:t>
      </w:r>
    </w:p>
    <w:p w14:paraId="3117161E" w14:textId="77777777" w:rsidR="00C93AF9" w:rsidRPr="00BE2AAF" w:rsidRDefault="00C93AF9" w:rsidP="00C93AF9">
      <w:pPr>
        <w:pStyle w:val="Textoindependiente"/>
        <w:ind w:left="283" w:right="283"/>
        <w:rPr>
          <w:rFonts w:ascii="Arial" w:hAnsi="Arial" w:cs="Arial"/>
          <w:b/>
          <w:sz w:val="24"/>
          <w:szCs w:val="24"/>
        </w:rPr>
      </w:pPr>
    </w:p>
    <w:p w14:paraId="5DB83791"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2. </w:t>
      </w:r>
      <w:r w:rsidRPr="00BE2AAF">
        <w:rPr>
          <w:rFonts w:ascii="Arial" w:hAnsi="Arial" w:cs="Arial"/>
          <w:bCs/>
          <w:i/>
          <w:iCs/>
          <w:sz w:val="24"/>
          <w:szCs w:val="24"/>
        </w:rPr>
        <w:t>Ámbito de aplicación.</w:t>
      </w:r>
      <w:r w:rsidRPr="00BE2AAF">
        <w:rPr>
          <w:rFonts w:ascii="Arial" w:hAnsi="Arial" w:cs="Arial"/>
          <w:b/>
          <w:sz w:val="24"/>
          <w:szCs w:val="24"/>
        </w:rPr>
        <w:t xml:space="preserve"> </w:t>
      </w:r>
      <w:r w:rsidRPr="00BE2AAF">
        <w:rPr>
          <w:rFonts w:ascii="Arial" w:hAnsi="Arial" w:cs="Arial"/>
          <w:bCs/>
          <w:sz w:val="24"/>
          <w:szCs w:val="24"/>
        </w:rPr>
        <w:t>Las disposiciones previstas en la presente Resolución aplican a las Entidades Promotoras de Salud de los Regímenes Contributivo y Subsidiado, las Entidades Adaptadas en Salud - EAS, los municipios, los distritos, los departamentos que tengan a su cargo áreas no municipalizadas y a la Administradora de los Recursos del Sistema General de Seguridad Social en Salud – ADRES.</w:t>
      </w:r>
    </w:p>
    <w:p w14:paraId="7F389821" w14:textId="77777777" w:rsidR="00C93AF9" w:rsidRDefault="00C93AF9" w:rsidP="00C93AF9">
      <w:pPr>
        <w:pStyle w:val="Textoindependiente"/>
        <w:ind w:left="283" w:right="283"/>
        <w:rPr>
          <w:rFonts w:ascii="Arial" w:hAnsi="Arial" w:cs="Arial"/>
          <w:bCs/>
          <w:sz w:val="24"/>
          <w:szCs w:val="24"/>
        </w:rPr>
      </w:pPr>
    </w:p>
    <w:p w14:paraId="054E1E66" w14:textId="77777777" w:rsidR="00C93AF9" w:rsidRPr="00BE2AAF" w:rsidRDefault="00C93AF9" w:rsidP="00C93AF9">
      <w:pPr>
        <w:pStyle w:val="Textoindependiente"/>
        <w:ind w:left="283" w:right="283"/>
        <w:rPr>
          <w:rFonts w:ascii="Arial" w:hAnsi="Arial" w:cs="Arial"/>
          <w:bCs/>
          <w:sz w:val="24"/>
          <w:szCs w:val="24"/>
        </w:rPr>
      </w:pPr>
    </w:p>
    <w:p w14:paraId="39311DC1"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2</w:t>
      </w:r>
    </w:p>
    <w:p w14:paraId="2C4F4104"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REPORTE DE INFORMACIÓN A LA BDUA</w:t>
      </w:r>
    </w:p>
    <w:p w14:paraId="777E105D" w14:textId="77777777" w:rsidR="00C93AF9" w:rsidRDefault="00C93AF9" w:rsidP="00C93AF9">
      <w:pPr>
        <w:pStyle w:val="Textoindependiente"/>
        <w:ind w:left="283" w:right="283"/>
        <w:rPr>
          <w:rFonts w:ascii="Arial" w:hAnsi="Arial" w:cs="Arial"/>
          <w:bCs/>
          <w:sz w:val="24"/>
          <w:szCs w:val="24"/>
        </w:rPr>
      </w:pPr>
    </w:p>
    <w:p w14:paraId="7AFC3FBF" w14:textId="77777777" w:rsidR="00C93AF9" w:rsidRPr="00BE2AAF" w:rsidRDefault="00C93AF9" w:rsidP="00C93AF9">
      <w:pPr>
        <w:pStyle w:val="Textoindependiente"/>
        <w:ind w:left="283" w:right="283"/>
        <w:rPr>
          <w:rFonts w:ascii="Arial" w:hAnsi="Arial" w:cs="Arial"/>
          <w:bCs/>
          <w:sz w:val="24"/>
          <w:szCs w:val="24"/>
        </w:rPr>
      </w:pPr>
    </w:p>
    <w:p w14:paraId="3A46BECA"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3.</w:t>
      </w:r>
      <w:r w:rsidRPr="00BE2AAF">
        <w:rPr>
          <w:rFonts w:ascii="Arial" w:hAnsi="Arial" w:cs="Arial"/>
          <w:bCs/>
          <w:sz w:val="24"/>
          <w:szCs w:val="24"/>
        </w:rPr>
        <w:t xml:space="preserve"> </w:t>
      </w:r>
      <w:r w:rsidRPr="00BE2AAF">
        <w:rPr>
          <w:rFonts w:ascii="Arial" w:hAnsi="Arial" w:cs="Arial"/>
          <w:bCs/>
          <w:i/>
          <w:iCs/>
          <w:sz w:val="24"/>
          <w:szCs w:val="24"/>
        </w:rPr>
        <w:t xml:space="preserve">Especificaciones para el reporte de información a la Base de Datos Única de </w:t>
      </w:r>
      <w:r w:rsidRPr="00BE2AAF">
        <w:rPr>
          <w:rFonts w:ascii="Arial" w:hAnsi="Arial" w:cs="Arial"/>
          <w:bCs/>
          <w:i/>
          <w:iCs/>
          <w:sz w:val="24"/>
          <w:szCs w:val="24"/>
        </w:rPr>
        <w:lastRenderedPageBreak/>
        <w:t>Afiliados – BDUA de afiliados fallecidos</w:t>
      </w:r>
      <w:r w:rsidRPr="00BE2AAF">
        <w:rPr>
          <w:rFonts w:ascii="Arial" w:hAnsi="Arial" w:cs="Arial"/>
          <w:bCs/>
          <w:sz w:val="24"/>
          <w:szCs w:val="24"/>
        </w:rPr>
        <w:t xml:space="preserve">. La información contenida en la Base de Datos Única de Afiliados – BDUA respecto de afiliados fallecidos debe ser reportada a la ADRES por las Entidades Promotoras de Salud – EPS, las Entidades Adaptadas en Salud - EAS y las Entidades Territoriales en los términos dispuestos en la </w:t>
      </w:r>
      <w:r w:rsidRPr="00AF3CB4">
        <w:rPr>
          <w:rFonts w:ascii="Arial" w:hAnsi="Arial" w:cs="Arial"/>
          <w:bCs/>
          <w:sz w:val="24"/>
          <w:szCs w:val="24"/>
        </w:rPr>
        <w:t>Resolución 762 de 2023 o la que la modifique o sustituya.</w:t>
      </w:r>
    </w:p>
    <w:p w14:paraId="471220BA" w14:textId="77777777" w:rsidR="00C93AF9" w:rsidRPr="00BE2AAF" w:rsidRDefault="00C93AF9" w:rsidP="00C93AF9">
      <w:pPr>
        <w:pStyle w:val="Textoindependiente"/>
        <w:ind w:left="283" w:right="283"/>
        <w:rPr>
          <w:rFonts w:ascii="Arial" w:hAnsi="Arial" w:cs="Arial"/>
          <w:bCs/>
          <w:sz w:val="24"/>
          <w:szCs w:val="24"/>
        </w:rPr>
      </w:pPr>
    </w:p>
    <w:p w14:paraId="1D7E5524"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4.</w:t>
      </w:r>
      <w:r w:rsidRPr="00BE2AAF">
        <w:rPr>
          <w:rFonts w:ascii="Arial" w:hAnsi="Arial" w:cs="Arial"/>
          <w:bCs/>
          <w:sz w:val="24"/>
          <w:szCs w:val="24"/>
        </w:rPr>
        <w:t xml:space="preserve"> </w:t>
      </w:r>
      <w:r w:rsidRPr="00BE2AAF">
        <w:rPr>
          <w:rFonts w:ascii="Arial" w:hAnsi="Arial" w:cs="Arial"/>
          <w:bCs/>
          <w:i/>
          <w:iCs/>
          <w:sz w:val="24"/>
          <w:szCs w:val="24"/>
        </w:rPr>
        <w:t>Tabla de referencia de fallecidos RNEC</w:t>
      </w:r>
      <w:r w:rsidRPr="00BE2AAF">
        <w:rPr>
          <w:rFonts w:ascii="Arial" w:hAnsi="Arial" w:cs="Arial"/>
          <w:bCs/>
          <w:sz w:val="24"/>
          <w:szCs w:val="24"/>
        </w:rPr>
        <w:t>. El Ministerio de Salud y Protección Social en concordancia con el artículo 21 del Decreto Ley 019 de 2012, remite a la ADRES la información relativa a los afiliados al Sistema General de Seguridad Social en Salud fallecidos, de conformidad con lo reportado por la Registraduría Nacional del Estado Civil.</w:t>
      </w:r>
    </w:p>
    <w:p w14:paraId="12950A31" w14:textId="77777777" w:rsidR="00C93AF9" w:rsidRPr="00BE2AAF" w:rsidRDefault="00C93AF9" w:rsidP="00C93AF9">
      <w:pPr>
        <w:pStyle w:val="Textoindependiente"/>
        <w:ind w:left="283" w:right="283"/>
        <w:rPr>
          <w:rFonts w:ascii="Arial" w:hAnsi="Arial" w:cs="Arial"/>
          <w:bCs/>
          <w:sz w:val="24"/>
          <w:szCs w:val="24"/>
        </w:rPr>
      </w:pPr>
    </w:p>
    <w:p w14:paraId="7AB4B18B"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5.</w:t>
      </w:r>
      <w:r w:rsidRPr="00BE2AAF">
        <w:rPr>
          <w:rFonts w:ascii="Arial" w:hAnsi="Arial" w:cs="Arial"/>
          <w:bCs/>
          <w:sz w:val="24"/>
          <w:szCs w:val="24"/>
        </w:rPr>
        <w:t xml:space="preserve"> </w:t>
      </w:r>
      <w:r w:rsidRPr="00BE2AAF">
        <w:rPr>
          <w:rFonts w:ascii="Arial" w:hAnsi="Arial" w:cs="Arial"/>
          <w:bCs/>
          <w:i/>
          <w:iCs/>
          <w:sz w:val="24"/>
          <w:szCs w:val="24"/>
        </w:rPr>
        <w:t>Actualización de afiliados fallecidos.</w:t>
      </w:r>
      <w:r w:rsidRPr="00BE2AAF">
        <w:rPr>
          <w:rFonts w:ascii="Arial" w:hAnsi="Arial" w:cs="Arial"/>
          <w:bCs/>
          <w:sz w:val="24"/>
          <w:szCs w:val="24"/>
        </w:rPr>
        <w:t xml:space="preserve"> En el caso de afiliados a los regímenes contributivo y subsidiado que hayan fallecido, la actualización del estado de afiliación se efectuará con la información reportada en la BDUA y de acuerdo con lo previsto en el artículo 4 de este acto administrativo.</w:t>
      </w:r>
    </w:p>
    <w:p w14:paraId="010C2719" w14:textId="77777777" w:rsidR="00C93AF9" w:rsidRPr="00BE2AAF" w:rsidRDefault="00C93AF9" w:rsidP="00C93AF9">
      <w:pPr>
        <w:pStyle w:val="Textoindependiente"/>
        <w:ind w:left="283" w:right="283"/>
        <w:rPr>
          <w:rFonts w:ascii="Arial" w:hAnsi="Arial" w:cs="Arial"/>
          <w:bCs/>
          <w:sz w:val="24"/>
          <w:szCs w:val="24"/>
        </w:rPr>
      </w:pPr>
    </w:p>
    <w:p w14:paraId="4A449876"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El último </w:t>
      </w:r>
      <w:r w:rsidRPr="00730E9B">
        <w:rPr>
          <w:rFonts w:ascii="Arial" w:hAnsi="Arial" w:cs="Arial"/>
          <w:bCs/>
          <w:sz w:val="24"/>
          <w:szCs w:val="24"/>
        </w:rPr>
        <w:t>día</w:t>
      </w:r>
      <w:r w:rsidRPr="00BE2AAF">
        <w:rPr>
          <w:rFonts w:ascii="Arial" w:hAnsi="Arial" w:cs="Arial"/>
          <w:bCs/>
          <w:sz w:val="24"/>
          <w:szCs w:val="24"/>
        </w:rPr>
        <w:t xml:space="preserve"> de afiliación en la BDUA será el día del fallecimiento</w:t>
      </w:r>
      <w:r>
        <w:rPr>
          <w:rFonts w:ascii="Arial" w:hAnsi="Arial" w:cs="Arial"/>
          <w:bCs/>
          <w:sz w:val="24"/>
          <w:szCs w:val="24"/>
        </w:rPr>
        <w:t xml:space="preserve"> y, l</w:t>
      </w:r>
      <w:r w:rsidRPr="00BE2AAF">
        <w:rPr>
          <w:rFonts w:ascii="Arial" w:hAnsi="Arial" w:cs="Arial"/>
          <w:bCs/>
          <w:sz w:val="24"/>
          <w:szCs w:val="24"/>
        </w:rPr>
        <w:t>a fecha de inicio de la condición de fallecimiento corresponderá al día siguiente a la fecha de fallecimiento reportada en la BDUA</w:t>
      </w:r>
      <w:r>
        <w:rPr>
          <w:rFonts w:ascii="Arial" w:hAnsi="Arial" w:cs="Arial"/>
          <w:bCs/>
          <w:sz w:val="24"/>
          <w:szCs w:val="24"/>
        </w:rPr>
        <w:t xml:space="preserve"> para lo cual se ajustará </w:t>
      </w:r>
      <w:r w:rsidRPr="00730E9B">
        <w:rPr>
          <w:rFonts w:ascii="Arial" w:hAnsi="Arial" w:cs="Arial"/>
          <w:bCs/>
          <w:sz w:val="24"/>
          <w:szCs w:val="24"/>
        </w:rPr>
        <w:t xml:space="preserve">la novedad N09 </w:t>
      </w:r>
      <w:r w:rsidRPr="00730E9B">
        <w:rPr>
          <w:rFonts w:ascii="Arial" w:hAnsi="Arial" w:cs="Arial"/>
          <w:bCs/>
          <w:i/>
          <w:iCs/>
          <w:sz w:val="24"/>
          <w:szCs w:val="24"/>
        </w:rPr>
        <w:t>“Retiro por muerte”</w:t>
      </w:r>
      <w:r w:rsidRPr="00730E9B">
        <w:rPr>
          <w:rFonts w:ascii="Arial" w:hAnsi="Arial" w:cs="Arial"/>
          <w:bCs/>
          <w:sz w:val="24"/>
          <w:szCs w:val="24"/>
        </w:rPr>
        <w:t xml:space="preserve"> descrita en la Resolución 762 de 2023 o la que la modifique o sustituya</w:t>
      </w:r>
      <w:r>
        <w:rPr>
          <w:rFonts w:ascii="Arial" w:hAnsi="Arial" w:cs="Arial"/>
          <w:bCs/>
          <w:sz w:val="24"/>
          <w:szCs w:val="24"/>
        </w:rPr>
        <w:t>.</w:t>
      </w:r>
    </w:p>
    <w:p w14:paraId="4499D16B" w14:textId="77777777" w:rsidR="00C93AF9" w:rsidRDefault="00C93AF9" w:rsidP="00C93AF9">
      <w:pPr>
        <w:pStyle w:val="Textoindependiente"/>
        <w:ind w:left="283" w:right="283"/>
        <w:rPr>
          <w:rFonts w:ascii="Arial" w:hAnsi="Arial" w:cs="Arial"/>
          <w:bCs/>
          <w:sz w:val="24"/>
          <w:szCs w:val="24"/>
        </w:rPr>
      </w:pPr>
    </w:p>
    <w:p w14:paraId="5C03C00C"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Parágrafo. </w:t>
      </w:r>
      <w:r w:rsidRPr="00BE2AAF">
        <w:rPr>
          <w:rFonts w:ascii="Arial" w:hAnsi="Arial" w:cs="Arial"/>
          <w:bCs/>
          <w:sz w:val="24"/>
          <w:szCs w:val="24"/>
        </w:rPr>
        <w:t>Sin perjuicio de la información remitida por el Ministerio de Salud y Protección Social, la ADRES podrá actualizar la información de la BDUA cuando esta corresponda con datos provistos directamente por la Registraduría Nacional del Estado Civil</w:t>
      </w:r>
      <w:r>
        <w:rPr>
          <w:rFonts w:ascii="Arial" w:hAnsi="Arial" w:cs="Arial"/>
          <w:bCs/>
          <w:sz w:val="24"/>
          <w:szCs w:val="24"/>
        </w:rPr>
        <w:t xml:space="preserve">. </w:t>
      </w:r>
    </w:p>
    <w:p w14:paraId="16EB85D2" w14:textId="77777777" w:rsidR="00C93AF9" w:rsidRPr="00BE2AAF" w:rsidRDefault="00C93AF9" w:rsidP="00C93AF9">
      <w:pPr>
        <w:pStyle w:val="Textoindependiente"/>
        <w:ind w:left="283" w:right="283"/>
        <w:rPr>
          <w:rFonts w:ascii="Arial" w:hAnsi="Arial" w:cs="Arial"/>
          <w:b/>
          <w:sz w:val="24"/>
          <w:szCs w:val="24"/>
        </w:rPr>
      </w:pPr>
    </w:p>
    <w:p w14:paraId="64798D9F"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6. </w:t>
      </w:r>
      <w:r w:rsidRPr="00BE2AAF">
        <w:rPr>
          <w:rFonts w:ascii="Arial" w:hAnsi="Arial" w:cs="Arial"/>
          <w:bCs/>
          <w:i/>
          <w:iCs/>
          <w:sz w:val="24"/>
          <w:szCs w:val="24"/>
        </w:rPr>
        <w:t xml:space="preserve">Responsabilidad del reporte de la información. </w:t>
      </w:r>
      <w:r w:rsidRPr="00BE2AAF">
        <w:rPr>
          <w:rFonts w:ascii="Arial" w:hAnsi="Arial" w:cs="Arial"/>
          <w:bCs/>
          <w:sz w:val="24"/>
          <w:szCs w:val="24"/>
        </w:rPr>
        <w:t>Las entidades responsables del reporte de información a la ADRES deberán hacer uso de los mecanismos necesarios para garantizar en todo momento la calidad de la información reportada, la cual deberá ser veraz y confiable.</w:t>
      </w:r>
    </w:p>
    <w:p w14:paraId="263AFFC7" w14:textId="77777777" w:rsidR="00C93AF9" w:rsidRPr="00BE2AAF" w:rsidRDefault="00C93AF9" w:rsidP="00C93AF9">
      <w:pPr>
        <w:pStyle w:val="Textoindependiente"/>
        <w:ind w:left="283" w:right="283"/>
        <w:rPr>
          <w:rFonts w:ascii="Arial" w:hAnsi="Arial" w:cs="Arial"/>
          <w:b/>
          <w:sz w:val="24"/>
          <w:szCs w:val="24"/>
        </w:rPr>
      </w:pPr>
    </w:p>
    <w:p w14:paraId="4073482A" w14:textId="77777777" w:rsidR="00C93AF9" w:rsidRPr="00730E9B" w:rsidRDefault="00C93AF9" w:rsidP="00C93AF9">
      <w:pPr>
        <w:pStyle w:val="Textoindependiente"/>
        <w:ind w:left="283" w:right="283"/>
        <w:rPr>
          <w:rFonts w:ascii="Arial" w:hAnsi="Arial" w:cs="Arial"/>
          <w:bCs/>
          <w:sz w:val="24"/>
          <w:szCs w:val="24"/>
        </w:rPr>
      </w:pPr>
      <w:r w:rsidRPr="00730E9B">
        <w:rPr>
          <w:rFonts w:ascii="Arial" w:hAnsi="Arial" w:cs="Arial"/>
          <w:b/>
          <w:sz w:val="24"/>
          <w:szCs w:val="24"/>
        </w:rPr>
        <w:t>Artículo 7</w:t>
      </w:r>
      <w:r w:rsidRPr="00730E9B">
        <w:rPr>
          <w:rFonts w:ascii="Arial" w:hAnsi="Arial" w:cs="Arial"/>
          <w:bCs/>
          <w:sz w:val="24"/>
          <w:szCs w:val="24"/>
        </w:rPr>
        <w:t xml:space="preserve">. </w:t>
      </w:r>
      <w:r w:rsidRPr="00730E9B">
        <w:rPr>
          <w:rFonts w:ascii="Arial" w:hAnsi="Arial" w:cs="Arial"/>
          <w:bCs/>
          <w:i/>
          <w:iCs/>
          <w:sz w:val="24"/>
          <w:szCs w:val="24"/>
        </w:rPr>
        <w:t>Consulta en la página web de la ADRES</w:t>
      </w:r>
      <w:r w:rsidRPr="00730E9B">
        <w:rPr>
          <w:rFonts w:ascii="Arial" w:hAnsi="Arial" w:cs="Arial"/>
          <w:bCs/>
          <w:sz w:val="24"/>
          <w:szCs w:val="24"/>
        </w:rPr>
        <w:t>. La fecha de fallecimiento se reflejará en la consulta de afiliación dispuesta en la página Web de la ADRES, en el campo “Fecha de finalización de afiliación”, con la finalidad de dar cierre al respectivo tramo de afiliación.</w:t>
      </w:r>
    </w:p>
    <w:p w14:paraId="21A4490E" w14:textId="77777777" w:rsidR="00C93AF9" w:rsidRDefault="00C93AF9" w:rsidP="00C93AF9">
      <w:pPr>
        <w:pStyle w:val="Textoindependiente"/>
        <w:ind w:left="283" w:right="283"/>
        <w:rPr>
          <w:rFonts w:ascii="Arial" w:hAnsi="Arial" w:cs="Arial"/>
          <w:b/>
          <w:sz w:val="24"/>
          <w:szCs w:val="24"/>
        </w:rPr>
      </w:pPr>
    </w:p>
    <w:p w14:paraId="56B60FFB" w14:textId="77777777" w:rsidR="00C93AF9" w:rsidRPr="00BE2AAF" w:rsidRDefault="00C93AF9" w:rsidP="00C93AF9">
      <w:pPr>
        <w:pStyle w:val="Textoindependiente"/>
        <w:ind w:left="283" w:right="283"/>
        <w:rPr>
          <w:rFonts w:ascii="Arial" w:hAnsi="Arial" w:cs="Arial"/>
          <w:b/>
          <w:sz w:val="24"/>
          <w:szCs w:val="24"/>
        </w:rPr>
      </w:pPr>
    </w:p>
    <w:p w14:paraId="369350BD"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3</w:t>
      </w:r>
    </w:p>
    <w:p w14:paraId="4C8D3468"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RECONOCIMIENTO DE RECURSOS</w:t>
      </w:r>
    </w:p>
    <w:p w14:paraId="60205A23" w14:textId="77777777" w:rsidR="00C93AF9" w:rsidRDefault="00C93AF9" w:rsidP="00C93AF9">
      <w:pPr>
        <w:pStyle w:val="Textoindependiente"/>
        <w:ind w:left="283" w:right="283"/>
        <w:rPr>
          <w:rFonts w:ascii="Arial" w:hAnsi="Arial" w:cs="Arial"/>
          <w:b/>
          <w:sz w:val="24"/>
          <w:szCs w:val="24"/>
        </w:rPr>
      </w:pPr>
    </w:p>
    <w:p w14:paraId="700E27D0" w14:textId="77777777" w:rsidR="00C93AF9" w:rsidRPr="00BE2AAF" w:rsidRDefault="00C93AF9" w:rsidP="00C93AF9">
      <w:pPr>
        <w:pStyle w:val="Textoindependiente"/>
        <w:ind w:left="283" w:right="283"/>
        <w:rPr>
          <w:rFonts w:ascii="Arial" w:hAnsi="Arial" w:cs="Arial"/>
          <w:b/>
          <w:sz w:val="24"/>
          <w:szCs w:val="24"/>
        </w:rPr>
      </w:pPr>
    </w:p>
    <w:p w14:paraId="542EE12E"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8. </w:t>
      </w:r>
      <w:r w:rsidRPr="00BE2AAF">
        <w:rPr>
          <w:rFonts w:ascii="Arial" w:hAnsi="Arial" w:cs="Arial"/>
          <w:bCs/>
          <w:i/>
          <w:iCs/>
          <w:sz w:val="24"/>
          <w:szCs w:val="24"/>
        </w:rPr>
        <w:t>Reconocimiento de la UPC en el régimen contributivo.</w:t>
      </w:r>
      <w:r w:rsidRPr="00BE2AAF">
        <w:rPr>
          <w:rFonts w:ascii="Arial" w:hAnsi="Arial" w:cs="Arial"/>
          <w:bCs/>
          <w:sz w:val="24"/>
          <w:szCs w:val="24"/>
        </w:rPr>
        <w:t xml:space="preserve"> El reconocimiento de la UPC en el régimen contributivo se debe efectuar en los términos previstos en la Resolución 1110 de 2022 o la norma que la modifique o sustituya. </w:t>
      </w:r>
    </w:p>
    <w:p w14:paraId="25819434" w14:textId="77777777" w:rsidR="00C93AF9" w:rsidRPr="00BE2AAF" w:rsidRDefault="00C93AF9" w:rsidP="00C93AF9">
      <w:pPr>
        <w:pStyle w:val="Textoindependiente"/>
        <w:ind w:left="283" w:right="283"/>
        <w:rPr>
          <w:rFonts w:ascii="Arial" w:hAnsi="Arial" w:cs="Arial"/>
          <w:bCs/>
          <w:sz w:val="24"/>
          <w:szCs w:val="24"/>
        </w:rPr>
      </w:pPr>
    </w:p>
    <w:p w14:paraId="771F5758"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En el caso de afiliados fallecidos, se tendrá en cuenta la información de la Base de Datos Única de Afiliados – BDUA reportada para la fecha de ejecución del proceso de compensación de acuerdo con lo señalado en las Resoluciones 1133 de 2021 y </w:t>
      </w:r>
      <w:r w:rsidRPr="00730E9B">
        <w:rPr>
          <w:rFonts w:ascii="Arial" w:hAnsi="Arial" w:cs="Arial"/>
          <w:bCs/>
          <w:sz w:val="24"/>
          <w:szCs w:val="24"/>
        </w:rPr>
        <w:t>762 de 2023 o las que las modifiquen o sustituyan, así como en el presente acto administrativo.</w:t>
      </w:r>
      <w:r w:rsidRPr="00BE2AAF">
        <w:rPr>
          <w:rFonts w:ascii="Arial" w:hAnsi="Arial" w:cs="Arial"/>
          <w:bCs/>
          <w:sz w:val="24"/>
          <w:szCs w:val="24"/>
        </w:rPr>
        <w:t xml:space="preserve"> </w:t>
      </w:r>
    </w:p>
    <w:p w14:paraId="0866BD9D" w14:textId="77777777" w:rsidR="00C93AF9" w:rsidRDefault="00C93AF9" w:rsidP="00C93AF9">
      <w:pPr>
        <w:pStyle w:val="Textoindependiente"/>
        <w:ind w:left="283" w:right="283"/>
        <w:rPr>
          <w:rFonts w:ascii="Arial" w:hAnsi="Arial" w:cs="Arial"/>
          <w:bCs/>
          <w:sz w:val="24"/>
          <w:szCs w:val="24"/>
        </w:rPr>
      </w:pPr>
    </w:p>
    <w:p w14:paraId="6884E036" w14:textId="77777777" w:rsidR="00C93AF9"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Parágrafo</w:t>
      </w:r>
      <w:r w:rsidRPr="00A64A9C">
        <w:rPr>
          <w:rFonts w:ascii="Arial" w:hAnsi="Arial" w:cs="Arial"/>
          <w:bCs/>
          <w:sz w:val="24"/>
          <w:szCs w:val="24"/>
        </w:rPr>
        <w:t xml:space="preserve">. Cuando en la BDUA no se encuentre reportada la fecha de fallecimiento se tomará como base la información de la Registraduría Nacional del Estado Civil y demás tablas de referencia en las que se identifique </w:t>
      </w:r>
      <w:r>
        <w:rPr>
          <w:rFonts w:ascii="Arial" w:hAnsi="Arial" w:cs="Arial"/>
          <w:bCs/>
          <w:sz w:val="24"/>
          <w:szCs w:val="24"/>
        </w:rPr>
        <w:t>esta fecha</w:t>
      </w:r>
      <w:r w:rsidRPr="00A64A9C">
        <w:rPr>
          <w:rFonts w:ascii="Arial" w:hAnsi="Arial" w:cs="Arial"/>
          <w:bCs/>
          <w:sz w:val="24"/>
          <w:szCs w:val="24"/>
        </w:rPr>
        <w:t>, de manera que</w:t>
      </w:r>
      <w:r>
        <w:rPr>
          <w:rFonts w:ascii="Arial" w:hAnsi="Arial" w:cs="Arial"/>
          <w:bCs/>
          <w:color w:val="FF0000"/>
          <w:sz w:val="24"/>
          <w:szCs w:val="24"/>
        </w:rPr>
        <w:t xml:space="preserve">, </w:t>
      </w:r>
      <w:r>
        <w:rPr>
          <w:rFonts w:ascii="Arial" w:hAnsi="Arial" w:cs="Arial"/>
          <w:bCs/>
          <w:sz w:val="24"/>
          <w:szCs w:val="24"/>
        </w:rPr>
        <w:t>e</w:t>
      </w:r>
      <w:r w:rsidRPr="00BE2AAF">
        <w:rPr>
          <w:rFonts w:ascii="Arial" w:hAnsi="Arial" w:cs="Arial"/>
          <w:bCs/>
          <w:sz w:val="24"/>
          <w:szCs w:val="24"/>
        </w:rPr>
        <w:t xml:space="preserve">l último </w:t>
      </w:r>
      <w:r w:rsidRPr="00730E9B">
        <w:rPr>
          <w:rFonts w:ascii="Arial" w:hAnsi="Arial" w:cs="Arial"/>
          <w:bCs/>
          <w:sz w:val="24"/>
          <w:szCs w:val="24"/>
        </w:rPr>
        <w:t>día</w:t>
      </w:r>
      <w:r w:rsidRPr="00BE2AAF">
        <w:rPr>
          <w:rFonts w:ascii="Arial" w:hAnsi="Arial" w:cs="Arial"/>
          <w:bCs/>
          <w:sz w:val="24"/>
          <w:szCs w:val="24"/>
        </w:rPr>
        <w:t xml:space="preserve"> de </w:t>
      </w:r>
      <w:r>
        <w:rPr>
          <w:rFonts w:ascii="Arial" w:hAnsi="Arial" w:cs="Arial"/>
          <w:bCs/>
          <w:sz w:val="24"/>
          <w:szCs w:val="24"/>
        </w:rPr>
        <w:t>reconocimiento de UPC</w:t>
      </w:r>
      <w:r w:rsidRPr="00BE2AAF">
        <w:rPr>
          <w:rFonts w:ascii="Arial" w:hAnsi="Arial" w:cs="Arial"/>
          <w:bCs/>
          <w:sz w:val="24"/>
          <w:szCs w:val="24"/>
        </w:rPr>
        <w:t xml:space="preserve"> </w:t>
      </w:r>
      <w:r>
        <w:rPr>
          <w:rFonts w:ascii="Arial" w:hAnsi="Arial" w:cs="Arial"/>
          <w:bCs/>
          <w:sz w:val="24"/>
          <w:szCs w:val="24"/>
        </w:rPr>
        <w:t>corresponderá</w:t>
      </w:r>
      <w:r w:rsidRPr="00BE2AAF">
        <w:rPr>
          <w:rFonts w:ascii="Arial" w:hAnsi="Arial" w:cs="Arial"/>
          <w:bCs/>
          <w:sz w:val="24"/>
          <w:szCs w:val="24"/>
        </w:rPr>
        <w:t xml:space="preserve"> </w:t>
      </w:r>
      <w:r>
        <w:rPr>
          <w:rFonts w:ascii="Arial" w:hAnsi="Arial" w:cs="Arial"/>
          <w:bCs/>
          <w:sz w:val="24"/>
          <w:szCs w:val="24"/>
        </w:rPr>
        <w:t>a</w:t>
      </w:r>
      <w:r w:rsidRPr="00BE2AAF">
        <w:rPr>
          <w:rFonts w:ascii="Arial" w:hAnsi="Arial" w:cs="Arial"/>
          <w:bCs/>
          <w:sz w:val="24"/>
          <w:szCs w:val="24"/>
        </w:rPr>
        <w:t>l día del fallecimiento</w:t>
      </w:r>
      <w:r>
        <w:rPr>
          <w:rFonts w:ascii="Arial" w:hAnsi="Arial" w:cs="Arial"/>
          <w:bCs/>
          <w:sz w:val="24"/>
          <w:szCs w:val="24"/>
        </w:rPr>
        <w:t>.</w:t>
      </w:r>
    </w:p>
    <w:p w14:paraId="4C9A6FF4" w14:textId="77777777" w:rsidR="00C93AF9" w:rsidRDefault="00C93AF9" w:rsidP="00C93AF9">
      <w:pPr>
        <w:pStyle w:val="Textoindependiente"/>
        <w:ind w:left="283" w:right="283"/>
        <w:rPr>
          <w:rFonts w:ascii="Arial" w:hAnsi="Arial" w:cs="Arial"/>
          <w:bCs/>
          <w:sz w:val="24"/>
          <w:szCs w:val="24"/>
        </w:rPr>
      </w:pPr>
    </w:p>
    <w:p w14:paraId="5BC5B28A" w14:textId="77777777" w:rsidR="00C93AF9" w:rsidRPr="00662B79" w:rsidRDefault="00C93AF9" w:rsidP="00C93AF9">
      <w:pPr>
        <w:pStyle w:val="Textoindependiente"/>
        <w:ind w:left="283" w:right="283"/>
        <w:rPr>
          <w:rFonts w:ascii="Arial" w:hAnsi="Arial" w:cs="Arial"/>
          <w:bCs/>
          <w:color w:val="FF0000"/>
          <w:sz w:val="24"/>
          <w:szCs w:val="24"/>
        </w:rPr>
      </w:pPr>
      <w:r>
        <w:rPr>
          <w:rFonts w:ascii="Arial" w:hAnsi="Arial" w:cs="Arial"/>
          <w:bCs/>
          <w:sz w:val="24"/>
          <w:szCs w:val="24"/>
        </w:rPr>
        <w:lastRenderedPageBreak/>
        <w:t>A partir de esta fecha se efectuará el bloqueo preventivo del registro en el proceso de compensación en consideración del</w:t>
      </w:r>
      <w:r w:rsidRPr="00BE2AAF">
        <w:rPr>
          <w:rFonts w:ascii="Arial" w:hAnsi="Arial" w:cs="Arial"/>
          <w:bCs/>
          <w:sz w:val="24"/>
          <w:szCs w:val="24"/>
        </w:rPr>
        <w:t xml:space="preserve"> inicio de </w:t>
      </w:r>
      <w:r>
        <w:rPr>
          <w:rFonts w:ascii="Arial" w:hAnsi="Arial" w:cs="Arial"/>
          <w:bCs/>
          <w:sz w:val="24"/>
          <w:szCs w:val="24"/>
        </w:rPr>
        <w:t xml:space="preserve">la condición de fallecido. </w:t>
      </w:r>
    </w:p>
    <w:p w14:paraId="4A5F3C3D" w14:textId="77777777" w:rsidR="00C93AF9" w:rsidRPr="00BE2AAF" w:rsidRDefault="00C93AF9" w:rsidP="00C93AF9">
      <w:pPr>
        <w:pStyle w:val="Textoindependiente"/>
        <w:ind w:left="283" w:right="283"/>
        <w:rPr>
          <w:rFonts w:ascii="Arial" w:hAnsi="Arial" w:cs="Arial"/>
          <w:bCs/>
          <w:sz w:val="24"/>
          <w:szCs w:val="24"/>
        </w:rPr>
      </w:pPr>
    </w:p>
    <w:p w14:paraId="4296BD69"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9.</w:t>
      </w:r>
      <w:r w:rsidRPr="00BE2AAF">
        <w:rPr>
          <w:rFonts w:ascii="Arial" w:hAnsi="Arial" w:cs="Arial"/>
          <w:bCs/>
          <w:sz w:val="24"/>
          <w:szCs w:val="24"/>
        </w:rPr>
        <w:t xml:space="preserve"> </w:t>
      </w:r>
      <w:r w:rsidRPr="00BE2AAF">
        <w:rPr>
          <w:rFonts w:ascii="Arial" w:hAnsi="Arial" w:cs="Arial"/>
          <w:bCs/>
          <w:i/>
          <w:iCs/>
          <w:sz w:val="24"/>
          <w:szCs w:val="24"/>
        </w:rPr>
        <w:t>Reconocimiento de la UPC en el régimen subsidiado.</w:t>
      </w:r>
      <w:r w:rsidRPr="00BE2AAF">
        <w:rPr>
          <w:rFonts w:ascii="Arial" w:hAnsi="Arial" w:cs="Arial"/>
          <w:bCs/>
          <w:sz w:val="24"/>
          <w:szCs w:val="24"/>
        </w:rPr>
        <w:t xml:space="preserve"> El reconocimiento de la Unidad de Pago por Capitación – UPC en el régimen subsidiado en salud, se realizará de conformidad con lo señalado en los artículos 2.3.2.2.6 y 2.6.4.3.2.2 del Decreto 780 de 2016 o las normas que los modifiquen o sustituyan. </w:t>
      </w:r>
    </w:p>
    <w:p w14:paraId="2BED4966" w14:textId="77777777" w:rsidR="00C93AF9" w:rsidRPr="00BE2AAF" w:rsidRDefault="00C93AF9" w:rsidP="00C93AF9">
      <w:pPr>
        <w:pStyle w:val="Textoindependiente"/>
        <w:ind w:left="283" w:right="283"/>
        <w:rPr>
          <w:rFonts w:ascii="Arial" w:hAnsi="Arial" w:cs="Arial"/>
          <w:bCs/>
          <w:sz w:val="24"/>
          <w:szCs w:val="24"/>
        </w:rPr>
      </w:pPr>
    </w:p>
    <w:p w14:paraId="4925A93E"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En el proceso de la LMA la información de los afiliados activos y las novedades sobre el estado de afiliación se obtiene de la BDUA, la cual administra la información reportada al Sistema General de Seguridad Social en Salud – SGSSS en los términos previstos en las Resoluciones 1133 de 2021 y 762 de 2023 o las normas que las modifiquen o sustituyan.</w:t>
      </w:r>
    </w:p>
    <w:p w14:paraId="44DA8B89" w14:textId="77777777" w:rsidR="00C93AF9" w:rsidRPr="00BE2AAF" w:rsidRDefault="00C93AF9" w:rsidP="00C93AF9">
      <w:pPr>
        <w:pStyle w:val="Textoindependiente"/>
        <w:ind w:left="283" w:right="283"/>
        <w:rPr>
          <w:rFonts w:ascii="Arial" w:hAnsi="Arial" w:cs="Arial"/>
          <w:bCs/>
          <w:sz w:val="24"/>
          <w:szCs w:val="24"/>
        </w:rPr>
      </w:pPr>
    </w:p>
    <w:p w14:paraId="0F27E2B6" w14:textId="77777777" w:rsidR="00C93AF9"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 xml:space="preserve">En el caso de afiliados fallecidos, se tendrá en cuenta la información de la Base de Datos Única de Afiliados – BDUA reportada para la fecha de ejecución de la LMA </w:t>
      </w:r>
      <w:r w:rsidRPr="00A64A9C">
        <w:rPr>
          <w:rFonts w:ascii="Arial" w:hAnsi="Arial" w:cs="Arial"/>
          <w:bCs/>
          <w:sz w:val="24"/>
          <w:szCs w:val="24"/>
        </w:rPr>
        <w:t>de acuerdo con lo señalado en la Resolución 762 de 2023 o la que haga sus veces y en el presente acto administrativo.</w:t>
      </w:r>
      <w:r w:rsidRPr="00BE2AAF">
        <w:rPr>
          <w:rFonts w:ascii="Arial" w:hAnsi="Arial" w:cs="Arial"/>
          <w:bCs/>
          <w:sz w:val="24"/>
          <w:szCs w:val="24"/>
          <w:highlight w:val="yellow"/>
        </w:rPr>
        <w:t xml:space="preserve"> </w:t>
      </w:r>
    </w:p>
    <w:p w14:paraId="08310EBA" w14:textId="77777777" w:rsidR="00C93AF9" w:rsidRDefault="00C93AF9" w:rsidP="00C93AF9">
      <w:pPr>
        <w:pStyle w:val="Textoindependiente"/>
        <w:ind w:left="283" w:right="283"/>
        <w:rPr>
          <w:rFonts w:ascii="Arial" w:hAnsi="Arial" w:cs="Arial"/>
          <w:b/>
          <w:sz w:val="24"/>
          <w:szCs w:val="24"/>
        </w:rPr>
      </w:pPr>
    </w:p>
    <w:p w14:paraId="5D0EA84C" w14:textId="77777777" w:rsidR="00C93AF9"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Parágrafo</w:t>
      </w:r>
      <w:r w:rsidRPr="00A64A9C">
        <w:rPr>
          <w:rFonts w:ascii="Arial" w:hAnsi="Arial" w:cs="Arial"/>
          <w:bCs/>
          <w:sz w:val="24"/>
          <w:szCs w:val="24"/>
        </w:rPr>
        <w:t xml:space="preserve">. Cuando en la BDUA no se encuentre reportada la fecha de fallecimiento se tomará como base la información de la Registraduría Nacional del Estado Civil y demás tablas de referencia en las que se identifique </w:t>
      </w:r>
      <w:r>
        <w:rPr>
          <w:rFonts w:ascii="Arial" w:hAnsi="Arial" w:cs="Arial"/>
          <w:bCs/>
          <w:sz w:val="24"/>
          <w:szCs w:val="24"/>
        </w:rPr>
        <w:t>esta fecha</w:t>
      </w:r>
      <w:r w:rsidRPr="00A64A9C">
        <w:rPr>
          <w:rFonts w:ascii="Arial" w:hAnsi="Arial" w:cs="Arial"/>
          <w:bCs/>
          <w:sz w:val="24"/>
          <w:szCs w:val="24"/>
        </w:rPr>
        <w:t>, de manera que</w:t>
      </w:r>
      <w:r>
        <w:rPr>
          <w:rFonts w:ascii="Arial" w:hAnsi="Arial" w:cs="Arial"/>
          <w:bCs/>
          <w:color w:val="FF0000"/>
          <w:sz w:val="24"/>
          <w:szCs w:val="24"/>
        </w:rPr>
        <w:t xml:space="preserve">, </w:t>
      </w:r>
      <w:r>
        <w:rPr>
          <w:rFonts w:ascii="Arial" w:hAnsi="Arial" w:cs="Arial"/>
          <w:bCs/>
          <w:sz w:val="24"/>
          <w:szCs w:val="24"/>
        </w:rPr>
        <w:t>e</w:t>
      </w:r>
      <w:r w:rsidRPr="00BE2AAF">
        <w:rPr>
          <w:rFonts w:ascii="Arial" w:hAnsi="Arial" w:cs="Arial"/>
          <w:bCs/>
          <w:sz w:val="24"/>
          <w:szCs w:val="24"/>
        </w:rPr>
        <w:t xml:space="preserve">l último </w:t>
      </w:r>
      <w:r w:rsidRPr="00730E9B">
        <w:rPr>
          <w:rFonts w:ascii="Arial" w:hAnsi="Arial" w:cs="Arial"/>
          <w:bCs/>
          <w:sz w:val="24"/>
          <w:szCs w:val="24"/>
        </w:rPr>
        <w:t>día</w:t>
      </w:r>
      <w:r w:rsidRPr="00BE2AAF">
        <w:rPr>
          <w:rFonts w:ascii="Arial" w:hAnsi="Arial" w:cs="Arial"/>
          <w:bCs/>
          <w:sz w:val="24"/>
          <w:szCs w:val="24"/>
        </w:rPr>
        <w:t xml:space="preserve"> de </w:t>
      </w:r>
      <w:r>
        <w:rPr>
          <w:rFonts w:ascii="Arial" w:hAnsi="Arial" w:cs="Arial"/>
          <w:bCs/>
          <w:sz w:val="24"/>
          <w:szCs w:val="24"/>
        </w:rPr>
        <w:t>reconocimiento de UPC</w:t>
      </w:r>
      <w:r w:rsidRPr="00BE2AAF">
        <w:rPr>
          <w:rFonts w:ascii="Arial" w:hAnsi="Arial" w:cs="Arial"/>
          <w:bCs/>
          <w:sz w:val="24"/>
          <w:szCs w:val="24"/>
        </w:rPr>
        <w:t xml:space="preserve"> </w:t>
      </w:r>
      <w:r>
        <w:rPr>
          <w:rFonts w:ascii="Arial" w:hAnsi="Arial" w:cs="Arial"/>
          <w:bCs/>
          <w:sz w:val="24"/>
          <w:szCs w:val="24"/>
        </w:rPr>
        <w:t>corresponderá</w:t>
      </w:r>
      <w:r w:rsidRPr="00BE2AAF">
        <w:rPr>
          <w:rFonts w:ascii="Arial" w:hAnsi="Arial" w:cs="Arial"/>
          <w:bCs/>
          <w:sz w:val="24"/>
          <w:szCs w:val="24"/>
        </w:rPr>
        <w:t xml:space="preserve"> </w:t>
      </w:r>
      <w:r>
        <w:rPr>
          <w:rFonts w:ascii="Arial" w:hAnsi="Arial" w:cs="Arial"/>
          <w:bCs/>
          <w:sz w:val="24"/>
          <w:szCs w:val="24"/>
        </w:rPr>
        <w:t>a</w:t>
      </w:r>
      <w:r w:rsidRPr="00BE2AAF">
        <w:rPr>
          <w:rFonts w:ascii="Arial" w:hAnsi="Arial" w:cs="Arial"/>
          <w:bCs/>
          <w:sz w:val="24"/>
          <w:szCs w:val="24"/>
        </w:rPr>
        <w:t>l día del fallecimiento</w:t>
      </w:r>
      <w:r>
        <w:rPr>
          <w:rFonts w:ascii="Arial" w:hAnsi="Arial" w:cs="Arial"/>
          <w:bCs/>
          <w:sz w:val="24"/>
          <w:szCs w:val="24"/>
        </w:rPr>
        <w:t>.</w:t>
      </w:r>
    </w:p>
    <w:p w14:paraId="165B4454" w14:textId="77777777" w:rsidR="00C93AF9" w:rsidRDefault="00C93AF9" w:rsidP="00C93AF9">
      <w:pPr>
        <w:pStyle w:val="Textoindependiente"/>
        <w:ind w:left="283" w:right="283"/>
        <w:rPr>
          <w:rFonts w:ascii="Arial" w:hAnsi="Arial" w:cs="Arial"/>
          <w:bCs/>
          <w:sz w:val="24"/>
          <w:szCs w:val="24"/>
        </w:rPr>
      </w:pPr>
    </w:p>
    <w:p w14:paraId="46590064" w14:textId="77777777" w:rsidR="00C93AF9" w:rsidRPr="00662B79" w:rsidRDefault="00C93AF9" w:rsidP="00C93AF9">
      <w:pPr>
        <w:pStyle w:val="Textoindependiente"/>
        <w:ind w:left="283" w:right="283"/>
        <w:rPr>
          <w:rFonts w:ascii="Arial" w:hAnsi="Arial" w:cs="Arial"/>
          <w:bCs/>
          <w:color w:val="FF0000"/>
          <w:sz w:val="24"/>
          <w:szCs w:val="24"/>
        </w:rPr>
      </w:pPr>
      <w:r>
        <w:rPr>
          <w:rFonts w:ascii="Arial" w:hAnsi="Arial" w:cs="Arial"/>
          <w:bCs/>
          <w:sz w:val="24"/>
          <w:szCs w:val="24"/>
        </w:rPr>
        <w:t>A partir de esta fecha se efectuará el bloqueo preventivo del registro en la Liquidación Mensual de Afiliados en consideración del</w:t>
      </w:r>
      <w:r w:rsidRPr="00BE2AAF">
        <w:rPr>
          <w:rFonts w:ascii="Arial" w:hAnsi="Arial" w:cs="Arial"/>
          <w:bCs/>
          <w:sz w:val="24"/>
          <w:szCs w:val="24"/>
        </w:rPr>
        <w:t xml:space="preserve"> inicio de </w:t>
      </w:r>
      <w:r>
        <w:rPr>
          <w:rFonts w:ascii="Arial" w:hAnsi="Arial" w:cs="Arial"/>
          <w:bCs/>
          <w:sz w:val="24"/>
          <w:szCs w:val="24"/>
        </w:rPr>
        <w:t xml:space="preserve">la condición de fallecido. </w:t>
      </w:r>
    </w:p>
    <w:p w14:paraId="5F70C6CE" w14:textId="77777777" w:rsidR="00C93AF9" w:rsidRDefault="00C93AF9" w:rsidP="00C93AF9">
      <w:pPr>
        <w:pStyle w:val="Textoindependiente"/>
        <w:ind w:left="283" w:right="283"/>
        <w:rPr>
          <w:rFonts w:ascii="Arial" w:hAnsi="Arial" w:cs="Arial"/>
          <w:bCs/>
          <w:sz w:val="24"/>
          <w:szCs w:val="24"/>
        </w:rPr>
      </w:pPr>
    </w:p>
    <w:p w14:paraId="280665E1" w14:textId="77777777" w:rsidR="00C93AF9" w:rsidRDefault="00C93AF9" w:rsidP="00C93AF9">
      <w:pPr>
        <w:pStyle w:val="Textoindependiente"/>
        <w:ind w:left="283" w:right="283"/>
        <w:rPr>
          <w:rFonts w:ascii="Arial" w:hAnsi="Arial" w:cs="Arial"/>
          <w:bCs/>
          <w:sz w:val="24"/>
          <w:szCs w:val="24"/>
        </w:rPr>
      </w:pPr>
    </w:p>
    <w:p w14:paraId="0487BBCF"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CAPITULO 4</w:t>
      </w:r>
    </w:p>
    <w:p w14:paraId="663CA80C"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REINTEGRO DE RECURSOS</w:t>
      </w:r>
    </w:p>
    <w:p w14:paraId="4007C8E0" w14:textId="77777777" w:rsidR="00C93AF9" w:rsidRDefault="00C93AF9" w:rsidP="00C93AF9">
      <w:pPr>
        <w:pStyle w:val="Textoindependiente"/>
        <w:ind w:left="283" w:right="283"/>
        <w:rPr>
          <w:rFonts w:ascii="Arial" w:hAnsi="Arial" w:cs="Arial"/>
          <w:bCs/>
          <w:sz w:val="24"/>
          <w:szCs w:val="24"/>
        </w:rPr>
      </w:pPr>
    </w:p>
    <w:p w14:paraId="0D82A5EB" w14:textId="77777777" w:rsidR="00C93AF9" w:rsidRPr="00BE2AAF" w:rsidRDefault="00C93AF9" w:rsidP="00C93AF9">
      <w:pPr>
        <w:pStyle w:val="Textoindependiente"/>
        <w:ind w:left="283" w:right="283"/>
        <w:rPr>
          <w:rFonts w:ascii="Arial" w:hAnsi="Arial" w:cs="Arial"/>
          <w:bCs/>
          <w:sz w:val="24"/>
          <w:szCs w:val="24"/>
        </w:rPr>
      </w:pPr>
    </w:p>
    <w:p w14:paraId="05B1FE2A"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Artículo 10</w:t>
      </w:r>
      <w:r w:rsidRPr="00BE2AAF">
        <w:rPr>
          <w:rFonts w:ascii="Arial" w:hAnsi="Arial" w:cs="Arial"/>
          <w:bCs/>
          <w:sz w:val="24"/>
          <w:szCs w:val="24"/>
        </w:rPr>
        <w:t xml:space="preserve"> </w:t>
      </w:r>
      <w:r w:rsidRPr="00BE2AAF">
        <w:rPr>
          <w:rFonts w:ascii="Arial" w:hAnsi="Arial" w:cs="Arial"/>
          <w:bCs/>
          <w:i/>
          <w:iCs/>
          <w:sz w:val="24"/>
          <w:szCs w:val="24"/>
        </w:rPr>
        <w:t>Procedimiento de reintegro de recursos del aseguramiento reconocidos sin justa causa.</w:t>
      </w:r>
      <w:r w:rsidRPr="00BE2AAF">
        <w:rPr>
          <w:rFonts w:ascii="Arial" w:hAnsi="Arial" w:cs="Arial"/>
          <w:bCs/>
          <w:sz w:val="24"/>
          <w:szCs w:val="24"/>
        </w:rPr>
        <w:t xml:space="preserve"> El procedimiento de reintegro de recursos del aseguramiento en salud será el dispuesto en la Resolución 1716 de 2019 o la norma que la modifique o sustituya. </w:t>
      </w:r>
    </w:p>
    <w:p w14:paraId="18703AFF" w14:textId="77777777" w:rsidR="00C93AF9" w:rsidRPr="00BE2AAF" w:rsidRDefault="00C93AF9" w:rsidP="00C93AF9">
      <w:pPr>
        <w:pStyle w:val="Textoindependiente"/>
        <w:ind w:left="283" w:right="283"/>
        <w:rPr>
          <w:rFonts w:ascii="Arial" w:hAnsi="Arial" w:cs="Arial"/>
          <w:bCs/>
          <w:sz w:val="24"/>
          <w:szCs w:val="24"/>
        </w:rPr>
      </w:pPr>
    </w:p>
    <w:p w14:paraId="249402C8"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Cs/>
          <w:sz w:val="24"/>
          <w:szCs w:val="24"/>
        </w:rPr>
        <w:t>Para efectos de las auditorías en los regímenes contributivo y subsidiado, en lo relativo a afiliados fallecidos se tendrán en cuenta los reconocimientos de recursos del aseguramiento de conformidad con la información reportada en la Base de Datos Única de Afiliados – BDUA y</w:t>
      </w:r>
      <w:r>
        <w:rPr>
          <w:rFonts w:ascii="Arial" w:hAnsi="Arial" w:cs="Arial"/>
          <w:bCs/>
          <w:sz w:val="24"/>
          <w:szCs w:val="24"/>
        </w:rPr>
        <w:t xml:space="preserve"> en</w:t>
      </w:r>
      <w:r w:rsidRPr="00BE2AAF">
        <w:rPr>
          <w:rFonts w:ascii="Arial" w:hAnsi="Arial" w:cs="Arial"/>
          <w:bCs/>
          <w:sz w:val="24"/>
          <w:szCs w:val="24"/>
        </w:rPr>
        <w:t xml:space="preserve"> la tabla de referencia de fallecidos de </w:t>
      </w:r>
      <w:r>
        <w:rPr>
          <w:rFonts w:ascii="Arial" w:hAnsi="Arial" w:cs="Arial"/>
          <w:bCs/>
          <w:sz w:val="24"/>
          <w:szCs w:val="24"/>
        </w:rPr>
        <w:t xml:space="preserve">la </w:t>
      </w:r>
      <w:r w:rsidRPr="00BE2AAF">
        <w:rPr>
          <w:rFonts w:ascii="Arial" w:hAnsi="Arial" w:cs="Arial"/>
          <w:bCs/>
          <w:sz w:val="24"/>
          <w:szCs w:val="24"/>
        </w:rPr>
        <w:t xml:space="preserve">Registraduría Nacional del Estado Civil remitida por el Ministerio de Salud y Protección Social. </w:t>
      </w:r>
    </w:p>
    <w:p w14:paraId="5D3B8AB2" w14:textId="77777777" w:rsidR="00C93AF9" w:rsidRPr="00BE2AAF" w:rsidRDefault="00C93AF9" w:rsidP="00C93AF9">
      <w:pPr>
        <w:pStyle w:val="Textoindependiente"/>
        <w:ind w:left="283" w:right="283"/>
        <w:rPr>
          <w:rFonts w:ascii="Arial" w:hAnsi="Arial" w:cs="Arial"/>
          <w:bCs/>
          <w:sz w:val="24"/>
          <w:szCs w:val="24"/>
        </w:rPr>
      </w:pPr>
    </w:p>
    <w:p w14:paraId="5044B8E9" w14:textId="77777777" w:rsidR="00C93AF9" w:rsidRPr="00BE2AAF" w:rsidRDefault="00C93AF9" w:rsidP="00C93AF9">
      <w:pPr>
        <w:pStyle w:val="Textoindependiente"/>
        <w:ind w:left="283" w:right="283"/>
        <w:rPr>
          <w:rFonts w:ascii="Arial" w:hAnsi="Arial" w:cs="Arial"/>
          <w:bCs/>
          <w:sz w:val="24"/>
          <w:szCs w:val="24"/>
        </w:rPr>
      </w:pPr>
      <w:r w:rsidRPr="00BE2AAF">
        <w:rPr>
          <w:rFonts w:ascii="Arial" w:hAnsi="Arial" w:cs="Arial"/>
          <w:b/>
          <w:sz w:val="24"/>
          <w:szCs w:val="24"/>
        </w:rPr>
        <w:t xml:space="preserve">Artículo 11. </w:t>
      </w:r>
      <w:r w:rsidRPr="00BE2AAF">
        <w:rPr>
          <w:rFonts w:ascii="Arial" w:hAnsi="Arial" w:cs="Arial"/>
          <w:bCs/>
          <w:i/>
          <w:iCs/>
          <w:sz w:val="24"/>
          <w:szCs w:val="24"/>
        </w:rPr>
        <w:t xml:space="preserve">Restituciones aplicadas en la LMA. </w:t>
      </w:r>
      <w:r w:rsidRPr="00BE2AAF">
        <w:rPr>
          <w:rFonts w:ascii="Arial" w:hAnsi="Arial" w:cs="Arial"/>
          <w:bCs/>
          <w:sz w:val="24"/>
          <w:szCs w:val="24"/>
        </w:rPr>
        <w:t>En los términos del numeral 1 del artículo 2.6.1.2.1.3 del Decreto 780 de 2016 se desarrollarán las restituciones de UPC de acuerdo con las novedades reportadas en la BDUA.</w:t>
      </w:r>
    </w:p>
    <w:p w14:paraId="7776B236" w14:textId="77777777" w:rsidR="00C93AF9" w:rsidRDefault="00C93AF9" w:rsidP="00C93AF9">
      <w:pPr>
        <w:pStyle w:val="Textoindependiente"/>
        <w:ind w:left="283" w:right="283"/>
        <w:rPr>
          <w:rFonts w:ascii="Arial" w:hAnsi="Arial" w:cs="Arial"/>
          <w:bCs/>
          <w:sz w:val="24"/>
          <w:szCs w:val="24"/>
        </w:rPr>
      </w:pPr>
    </w:p>
    <w:p w14:paraId="650A5ADC" w14:textId="77777777" w:rsidR="00C93AF9" w:rsidRDefault="00C93AF9" w:rsidP="00C93AF9">
      <w:pPr>
        <w:pStyle w:val="Textoindependiente"/>
        <w:ind w:left="283" w:right="283"/>
        <w:rPr>
          <w:rFonts w:ascii="Arial" w:hAnsi="Arial" w:cs="Arial"/>
          <w:bCs/>
          <w:sz w:val="24"/>
          <w:szCs w:val="24"/>
        </w:rPr>
      </w:pPr>
    </w:p>
    <w:p w14:paraId="1F9FAD37" w14:textId="77777777" w:rsidR="00C93AF9" w:rsidRPr="00BE2AAF" w:rsidRDefault="00C93AF9" w:rsidP="00C93AF9">
      <w:pPr>
        <w:ind w:left="283" w:right="283"/>
        <w:jc w:val="center"/>
        <w:rPr>
          <w:rFonts w:ascii="Arial" w:hAnsi="Arial" w:cs="Arial"/>
          <w:b/>
          <w:bCs/>
          <w:sz w:val="24"/>
          <w:szCs w:val="24"/>
        </w:rPr>
      </w:pPr>
      <w:r w:rsidRPr="00BE2AAF">
        <w:rPr>
          <w:rFonts w:ascii="Arial" w:hAnsi="Arial" w:cs="Arial"/>
          <w:b/>
          <w:bCs/>
          <w:sz w:val="24"/>
          <w:szCs w:val="24"/>
        </w:rPr>
        <w:t xml:space="preserve">CAPITULO </w:t>
      </w:r>
      <w:r>
        <w:rPr>
          <w:rFonts w:ascii="Arial" w:hAnsi="Arial" w:cs="Arial"/>
          <w:b/>
          <w:bCs/>
          <w:sz w:val="24"/>
          <w:szCs w:val="24"/>
        </w:rPr>
        <w:t>5</w:t>
      </w:r>
    </w:p>
    <w:p w14:paraId="4BC4EA86" w14:textId="77777777" w:rsidR="00C93AF9" w:rsidRPr="00BE2AAF" w:rsidRDefault="00C93AF9" w:rsidP="00C93AF9">
      <w:pPr>
        <w:ind w:left="283" w:right="283"/>
        <w:jc w:val="center"/>
        <w:rPr>
          <w:rFonts w:ascii="Arial" w:hAnsi="Arial" w:cs="Arial"/>
          <w:b/>
          <w:bCs/>
          <w:sz w:val="24"/>
          <w:szCs w:val="24"/>
        </w:rPr>
      </w:pPr>
      <w:r>
        <w:rPr>
          <w:rFonts w:ascii="Arial" w:hAnsi="Arial" w:cs="Arial"/>
          <w:b/>
          <w:bCs/>
          <w:sz w:val="24"/>
          <w:szCs w:val="24"/>
        </w:rPr>
        <w:t>TRANSITORIEDAD</w:t>
      </w:r>
    </w:p>
    <w:p w14:paraId="5C6604D3" w14:textId="77777777" w:rsidR="00C93AF9" w:rsidRDefault="00C93AF9" w:rsidP="00C93AF9">
      <w:pPr>
        <w:pStyle w:val="Textoindependiente"/>
        <w:ind w:left="283" w:right="283"/>
        <w:rPr>
          <w:rFonts w:ascii="Arial" w:hAnsi="Arial" w:cs="Arial"/>
          <w:bCs/>
          <w:sz w:val="24"/>
          <w:szCs w:val="24"/>
        </w:rPr>
      </w:pPr>
    </w:p>
    <w:p w14:paraId="50D3ECF1" w14:textId="77777777" w:rsidR="00C93AF9" w:rsidRPr="00BE2AAF" w:rsidRDefault="00C93AF9" w:rsidP="00C93AF9">
      <w:pPr>
        <w:pStyle w:val="Textoindependiente"/>
        <w:ind w:left="283" w:right="283"/>
        <w:rPr>
          <w:rFonts w:ascii="Arial" w:hAnsi="Arial" w:cs="Arial"/>
          <w:bCs/>
          <w:sz w:val="24"/>
          <w:szCs w:val="24"/>
        </w:rPr>
      </w:pPr>
    </w:p>
    <w:p w14:paraId="6D35AEAB" w14:textId="77777777" w:rsidR="00C93AF9" w:rsidRPr="00BE2AAF" w:rsidRDefault="00C93AF9" w:rsidP="00C93AF9">
      <w:pPr>
        <w:pStyle w:val="Textoindependiente"/>
        <w:ind w:left="283" w:right="283"/>
        <w:rPr>
          <w:rFonts w:ascii="Arial" w:hAnsi="Arial" w:cs="Arial"/>
          <w:bCs/>
          <w:sz w:val="24"/>
          <w:szCs w:val="24"/>
        </w:rPr>
      </w:pPr>
      <w:r w:rsidRPr="00A64A9C">
        <w:rPr>
          <w:rFonts w:ascii="Arial" w:hAnsi="Arial" w:cs="Arial"/>
          <w:b/>
          <w:sz w:val="24"/>
          <w:szCs w:val="24"/>
        </w:rPr>
        <w:t>Artículo 12.</w:t>
      </w:r>
      <w:r w:rsidRPr="00A64A9C">
        <w:rPr>
          <w:rFonts w:ascii="Arial" w:hAnsi="Arial" w:cs="Arial"/>
          <w:bCs/>
          <w:sz w:val="24"/>
          <w:szCs w:val="24"/>
        </w:rPr>
        <w:t xml:space="preserve"> </w:t>
      </w:r>
      <w:r w:rsidRPr="00A64A9C">
        <w:rPr>
          <w:rFonts w:ascii="Arial" w:hAnsi="Arial" w:cs="Arial"/>
          <w:bCs/>
          <w:i/>
          <w:iCs/>
          <w:sz w:val="24"/>
          <w:szCs w:val="24"/>
        </w:rPr>
        <w:t>Transitoriedad</w:t>
      </w:r>
      <w:r w:rsidRPr="00A64A9C">
        <w:rPr>
          <w:rFonts w:ascii="Arial" w:hAnsi="Arial" w:cs="Arial"/>
          <w:bCs/>
          <w:sz w:val="24"/>
          <w:szCs w:val="24"/>
        </w:rPr>
        <w:t xml:space="preserve">. La ADRES contará con un término no mayor a seis (6) meses contados a partir de la publicación de la presente Resolución para implementar las disposiciones técnicas y operativas necesarias en las bases de datos que administra, sin </w:t>
      </w:r>
      <w:r w:rsidRPr="00A64A9C">
        <w:rPr>
          <w:rFonts w:ascii="Arial" w:hAnsi="Arial" w:cs="Arial"/>
          <w:bCs/>
          <w:sz w:val="24"/>
          <w:szCs w:val="24"/>
        </w:rPr>
        <w:lastRenderedPageBreak/>
        <w:t>que esto implique modificación de registros para novedades aplicadas previamente en la BDUA en la fecha de implementación.</w:t>
      </w:r>
      <w:r w:rsidRPr="00BE2AAF">
        <w:rPr>
          <w:rFonts w:ascii="Arial" w:hAnsi="Arial" w:cs="Arial"/>
          <w:bCs/>
          <w:sz w:val="24"/>
          <w:szCs w:val="24"/>
        </w:rPr>
        <w:t xml:space="preserve">  </w:t>
      </w:r>
    </w:p>
    <w:p w14:paraId="3F7ABD26" w14:textId="77777777" w:rsidR="00C93AF9" w:rsidRPr="00BE2AAF" w:rsidRDefault="00C93AF9" w:rsidP="00C93AF9">
      <w:pPr>
        <w:pStyle w:val="Textoindependiente"/>
        <w:ind w:left="283" w:right="283"/>
        <w:rPr>
          <w:rFonts w:ascii="Arial" w:hAnsi="Arial" w:cs="Arial"/>
          <w:bCs/>
          <w:sz w:val="24"/>
          <w:szCs w:val="24"/>
        </w:rPr>
      </w:pPr>
    </w:p>
    <w:p w14:paraId="62B72B5A" w14:textId="77777777" w:rsidR="00C93AF9" w:rsidRPr="00A64A9C" w:rsidRDefault="00C93AF9" w:rsidP="00C93AF9">
      <w:pPr>
        <w:ind w:left="283" w:right="283"/>
        <w:jc w:val="both"/>
        <w:rPr>
          <w:rFonts w:ascii="Arial" w:eastAsia="Times New Roman" w:hAnsi="Arial" w:cs="Arial"/>
          <w:bCs/>
          <w:sz w:val="24"/>
          <w:szCs w:val="24"/>
          <w:lang w:val="es-ES_tradnl" w:eastAsia="es-ES"/>
        </w:rPr>
      </w:pPr>
      <w:r w:rsidRPr="00A64A9C">
        <w:rPr>
          <w:rFonts w:ascii="Arial" w:eastAsia="Times New Roman" w:hAnsi="Arial" w:cs="Arial"/>
          <w:b/>
          <w:sz w:val="24"/>
          <w:szCs w:val="24"/>
          <w:lang w:val="es-ES_tradnl" w:eastAsia="es-ES"/>
        </w:rPr>
        <w:t>Artículo 13</w:t>
      </w:r>
      <w:r w:rsidRPr="00A64A9C">
        <w:rPr>
          <w:rFonts w:ascii="Arial" w:eastAsia="Times New Roman" w:hAnsi="Arial" w:cs="Arial"/>
          <w:bCs/>
          <w:sz w:val="24"/>
          <w:szCs w:val="24"/>
          <w:lang w:val="es-ES_tradnl" w:eastAsia="es-ES"/>
        </w:rPr>
        <w:t xml:space="preserve">. </w:t>
      </w:r>
      <w:r w:rsidRPr="00A64A9C">
        <w:rPr>
          <w:rFonts w:ascii="Arial" w:eastAsia="Times New Roman" w:hAnsi="Arial" w:cs="Arial"/>
          <w:bCs/>
          <w:i/>
          <w:iCs/>
          <w:sz w:val="24"/>
          <w:szCs w:val="24"/>
          <w:lang w:val="es-ES_tradnl" w:eastAsia="es-ES"/>
        </w:rPr>
        <w:t>Vigencia.</w:t>
      </w:r>
      <w:r w:rsidRPr="00A64A9C">
        <w:rPr>
          <w:rFonts w:ascii="Arial" w:eastAsia="Times New Roman" w:hAnsi="Arial" w:cs="Arial"/>
          <w:bCs/>
          <w:sz w:val="24"/>
          <w:szCs w:val="24"/>
          <w:lang w:val="es-ES_tradnl" w:eastAsia="es-ES"/>
        </w:rPr>
        <w:t xml:space="preserve"> La presente Resolución rige a partir de la fecha de su publicación y será exigible en los términos previstos en el artículo anterior.  </w:t>
      </w:r>
    </w:p>
    <w:p w14:paraId="2806FFA7" w14:textId="77777777" w:rsidR="00C93AF9" w:rsidRPr="00BE2AAF" w:rsidRDefault="00C93AF9" w:rsidP="00C93AF9">
      <w:pPr>
        <w:ind w:left="283" w:right="283"/>
        <w:jc w:val="both"/>
        <w:rPr>
          <w:rFonts w:ascii="Arial" w:hAnsi="Arial" w:cs="Arial"/>
          <w:spacing w:val="-59"/>
          <w:sz w:val="24"/>
          <w:szCs w:val="24"/>
        </w:rPr>
      </w:pPr>
    </w:p>
    <w:p w14:paraId="2F8A68FC" w14:textId="77777777" w:rsidR="00C93AF9" w:rsidRPr="00BE2AAF" w:rsidRDefault="00C93AF9" w:rsidP="00C93AF9">
      <w:pPr>
        <w:ind w:left="283" w:right="283"/>
        <w:jc w:val="both"/>
        <w:rPr>
          <w:rFonts w:ascii="Arial" w:hAnsi="Arial" w:cs="Arial"/>
          <w:sz w:val="24"/>
          <w:szCs w:val="24"/>
        </w:rPr>
      </w:pPr>
      <w:r w:rsidRPr="00BE2AAF">
        <w:rPr>
          <w:rFonts w:ascii="Arial" w:hAnsi="Arial" w:cs="Arial"/>
          <w:sz w:val="24"/>
          <w:szCs w:val="24"/>
        </w:rPr>
        <w:t>Dada</w:t>
      </w:r>
      <w:r w:rsidRPr="00BE2AAF">
        <w:rPr>
          <w:rFonts w:ascii="Arial" w:hAnsi="Arial" w:cs="Arial"/>
          <w:spacing w:val="-1"/>
          <w:sz w:val="24"/>
          <w:szCs w:val="24"/>
        </w:rPr>
        <w:t xml:space="preserve"> </w:t>
      </w:r>
      <w:r w:rsidRPr="00BE2AAF">
        <w:rPr>
          <w:rFonts w:ascii="Arial" w:hAnsi="Arial" w:cs="Arial"/>
          <w:sz w:val="24"/>
          <w:szCs w:val="24"/>
        </w:rPr>
        <w:t>en Bogotá D.C.,</w:t>
      </w:r>
    </w:p>
    <w:p w14:paraId="6BEA51AD" w14:textId="77777777" w:rsidR="00C93AF9" w:rsidRPr="00BE2AAF" w:rsidRDefault="00C93AF9" w:rsidP="00C93AF9">
      <w:pPr>
        <w:ind w:left="283" w:right="283"/>
        <w:jc w:val="both"/>
        <w:rPr>
          <w:rFonts w:ascii="Arial" w:hAnsi="Arial" w:cs="Arial"/>
          <w:sz w:val="24"/>
          <w:szCs w:val="24"/>
        </w:rPr>
      </w:pPr>
    </w:p>
    <w:p w14:paraId="174C5AA7" w14:textId="77777777" w:rsidR="00C93AF9" w:rsidRPr="00BE2AAF" w:rsidRDefault="00C93AF9" w:rsidP="00C93AF9">
      <w:pPr>
        <w:shd w:val="clear" w:color="auto" w:fill="FFFFFF" w:themeFill="background1"/>
        <w:ind w:left="283" w:right="283"/>
        <w:jc w:val="center"/>
        <w:rPr>
          <w:rFonts w:ascii="Arial" w:hAnsi="Arial" w:cs="Arial"/>
          <w:b/>
          <w:sz w:val="24"/>
          <w:szCs w:val="24"/>
        </w:rPr>
      </w:pPr>
      <w:r w:rsidRPr="00BE2AAF">
        <w:rPr>
          <w:rFonts w:ascii="Arial" w:hAnsi="Arial" w:cs="Arial"/>
          <w:b/>
          <w:sz w:val="24"/>
          <w:szCs w:val="24"/>
        </w:rPr>
        <w:t>PUBLÍQUESE Y CÚMPLASE</w:t>
      </w:r>
    </w:p>
    <w:p w14:paraId="673E756F" w14:textId="77777777" w:rsidR="00C93AF9" w:rsidRPr="00BE2AAF" w:rsidRDefault="00C93AF9" w:rsidP="00C93AF9">
      <w:pPr>
        <w:shd w:val="clear" w:color="auto" w:fill="FFFFFF" w:themeFill="background1"/>
        <w:ind w:left="283" w:right="283"/>
        <w:jc w:val="both"/>
        <w:rPr>
          <w:rFonts w:ascii="Arial" w:hAnsi="Arial" w:cs="Arial"/>
          <w:b/>
          <w:sz w:val="24"/>
          <w:szCs w:val="24"/>
        </w:rPr>
      </w:pPr>
    </w:p>
    <w:p w14:paraId="622C0913" w14:textId="77777777" w:rsidR="00C93AF9" w:rsidRPr="00BE2AAF" w:rsidRDefault="00C93AF9" w:rsidP="00C93AF9">
      <w:pPr>
        <w:shd w:val="clear" w:color="auto" w:fill="FFFFFF"/>
        <w:ind w:left="283" w:right="283"/>
        <w:jc w:val="both"/>
        <w:rPr>
          <w:rFonts w:ascii="Arial" w:hAnsi="Arial" w:cs="Arial"/>
          <w:color w:val="000000"/>
          <w:sz w:val="24"/>
          <w:szCs w:val="24"/>
          <w:lang w:eastAsia="es-CO"/>
        </w:rPr>
      </w:pPr>
    </w:p>
    <w:p w14:paraId="16581978" w14:textId="77777777" w:rsidR="00C93AF9" w:rsidRPr="00BE2AAF" w:rsidRDefault="00C93AF9" w:rsidP="00C93AF9">
      <w:pPr>
        <w:shd w:val="clear" w:color="auto" w:fill="FFFFFF"/>
        <w:ind w:left="283" w:right="283"/>
        <w:jc w:val="both"/>
        <w:rPr>
          <w:rFonts w:ascii="Arial" w:hAnsi="Arial" w:cs="Arial"/>
          <w:color w:val="000000"/>
          <w:sz w:val="24"/>
          <w:szCs w:val="24"/>
          <w:lang w:eastAsia="es-CO"/>
        </w:rPr>
      </w:pPr>
    </w:p>
    <w:p w14:paraId="4CD5CDA9" w14:textId="77777777" w:rsidR="00C93AF9" w:rsidRDefault="00C93AF9" w:rsidP="00C93AF9">
      <w:pPr>
        <w:shd w:val="clear" w:color="auto" w:fill="FFFFFF"/>
        <w:ind w:left="283" w:right="283"/>
        <w:jc w:val="center"/>
        <w:rPr>
          <w:rFonts w:ascii="Arial" w:hAnsi="Arial" w:cs="Arial"/>
          <w:b/>
          <w:bCs/>
          <w:color w:val="000000"/>
          <w:sz w:val="24"/>
          <w:szCs w:val="24"/>
          <w:lang w:eastAsia="es-CO"/>
        </w:rPr>
      </w:pPr>
    </w:p>
    <w:p w14:paraId="01D3C8B7" w14:textId="77777777" w:rsidR="00C93AF9" w:rsidRPr="00BE2AAF" w:rsidRDefault="00C93AF9" w:rsidP="00C93AF9">
      <w:pPr>
        <w:shd w:val="clear" w:color="auto" w:fill="FFFFFF"/>
        <w:ind w:left="283" w:right="283"/>
        <w:jc w:val="center"/>
        <w:rPr>
          <w:rFonts w:ascii="Arial" w:hAnsi="Arial" w:cs="Arial"/>
          <w:b/>
          <w:bCs/>
          <w:color w:val="000000"/>
          <w:sz w:val="24"/>
          <w:szCs w:val="24"/>
          <w:lang w:eastAsia="es-CO"/>
        </w:rPr>
      </w:pPr>
    </w:p>
    <w:p w14:paraId="413FA7A8" w14:textId="77777777" w:rsidR="00C93AF9" w:rsidRPr="00BE2AAF" w:rsidRDefault="00C93AF9" w:rsidP="00C93AF9">
      <w:pPr>
        <w:shd w:val="clear" w:color="auto" w:fill="FFFFFF"/>
        <w:ind w:left="283" w:right="283"/>
        <w:jc w:val="center"/>
        <w:rPr>
          <w:rFonts w:ascii="Arial" w:hAnsi="Arial" w:cs="Arial"/>
          <w:b/>
          <w:bCs/>
          <w:color w:val="000000"/>
          <w:sz w:val="24"/>
          <w:szCs w:val="24"/>
          <w:lang w:eastAsia="es-CO"/>
        </w:rPr>
      </w:pPr>
      <w:r w:rsidRPr="00BE2AAF">
        <w:rPr>
          <w:rFonts w:ascii="Arial" w:hAnsi="Arial" w:cs="Arial"/>
          <w:b/>
          <w:bCs/>
          <w:color w:val="000000"/>
          <w:sz w:val="24"/>
          <w:szCs w:val="24"/>
          <w:lang w:eastAsia="es-CO"/>
        </w:rPr>
        <w:t>FÉLIX LEÓN MARTÍNEZ MARTÍN</w:t>
      </w:r>
    </w:p>
    <w:p w14:paraId="420FBB03" w14:textId="77777777" w:rsidR="00C93AF9" w:rsidRPr="00BE2AAF" w:rsidRDefault="00C93AF9" w:rsidP="00C93AF9">
      <w:pPr>
        <w:shd w:val="clear" w:color="auto" w:fill="FFFFFF"/>
        <w:ind w:left="283" w:right="283"/>
        <w:jc w:val="center"/>
        <w:rPr>
          <w:rFonts w:ascii="Arial" w:hAnsi="Arial" w:cs="Arial"/>
          <w:color w:val="000000"/>
          <w:sz w:val="24"/>
          <w:szCs w:val="24"/>
          <w:lang w:eastAsia="es-CO"/>
        </w:rPr>
      </w:pPr>
      <w:r w:rsidRPr="00BE2AAF">
        <w:rPr>
          <w:rFonts w:ascii="Arial" w:hAnsi="Arial" w:cs="Arial"/>
          <w:color w:val="000000"/>
          <w:sz w:val="24"/>
          <w:szCs w:val="24"/>
          <w:lang w:eastAsia="es-CO"/>
        </w:rPr>
        <w:t>Director General</w:t>
      </w:r>
    </w:p>
    <w:p w14:paraId="0017B0EF" w14:textId="77777777" w:rsidR="00C93AF9" w:rsidRDefault="00C93AF9" w:rsidP="00C93AF9">
      <w:pPr>
        <w:shd w:val="clear" w:color="auto" w:fill="FFFFFF" w:themeFill="background1"/>
        <w:ind w:left="283" w:right="284"/>
        <w:jc w:val="both"/>
        <w:rPr>
          <w:rFonts w:ascii="Arial" w:hAnsi="Arial" w:cs="Arial"/>
          <w:bCs/>
          <w:color w:val="000000"/>
          <w:sz w:val="14"/>
          <w:szCs w:val="14"/>
        </w:rPr>
      </w:pPr>
    </w:p>
    <w:p w14:paraId="1BEC7D6B" w14:textId="77777777" w:rsidR="00C93AF9" w:rsidRDefault="00C93AF9" w:rsidP="00C93AF9">
      <w:pPr>
        <w:shd w:val="clear" w:color="auto" w:fill="FFFFFF" w:themeFill="background1"/>
        <w:ind w:left="283" w:right="284"/>
        <w:jc w:val="both"/>
        <w:rPr>
          <w:rFonts w:ascii="Arial" w:hAnsi="Arial" w:cs="Arial"/>
          <w:bCs/>
          <w:color w:val="000000"/>
          <w:sz w:val="14"/>
          <w:szCs w:val="14"/>
        </w:rPr>
      </w:pPr>
    </w:p>
    <w:p w14:paraId="27EB7A12" w14:textId="47A3019A" w:rsidR="00C93AF9" w:rsidRDefault="00C93AF9" w:rsidP="00C93AF9">
      <w:pPr>
        <w:shd w:val="clear" w:color="auto" w:fill="FFFFFF" w:themeFill="background1"/>
        <w:ind w:right="284" w:firstLine="283"/>
        <w:jc w:val="both"/>
        <w:rPr>
          <w:rFonts w:ascii="Arial" w:hAnsi="Arial" w:cs="Arial"/>
          <w:bCs/>
          <w:color w:val="000000"/>
          <w:sz w:val="14"/>
          <w:szCs w:val="14"/>
        </w:rPr>
      </w:pPr>
      <w:r w:rsidRPr="00BE2AAF">
        <w:rPr>
          <w:rFonts w:ascii="Arial" w:hAnsi="Arial" w:cs="Arial"/>
          <w:bCs/>
          <w:color w:val="000000"/>
          <w:sz w:val="14"/>
          <w:szCs w:val="14"/>
        </w:rPr>
        <w:t>Aprobó:</w:t>
      </w:r>
      <w:r>
        <w:rPr>
          <w:rFonts w:ascii="Arial" w:hAnsi="Arial" w:cs="Arial"/>
          <w:bCs/>
          <w:color w:val="000000"/>
          <w:sz w:val="14"/>
          <w:szCs w:val="14"/>
        </w:rPr>
        <w:t xml:space="preserve">      </w:t>
      </w:r>
      <w:r w:rsidRPr="00BE2AAF">
        <w:rPr>
          <w:rFonts w:ascii="Arial" w:hAnsi="Arial" w:cs="Arial"/>
          <w:bCs/>
          <w:color w:val="000000"/>
          <w:sz w:val="14"/>
          <w:szCs w:val="14"/>
        </w:rPr>
        <w:t xml:space="preserve">César Andrés Jiménez Valencia - </w:t>
      </w:r>
      <w:proofErr w:type="gramStart"/>
      <w:r w:rsidRPr="00BE2AAF">
        <w:rPr>
          <w:rFonts w:ascii="Arial" w:hAnsi="Arial" w:cs="Arial"/>
          <w:bCs/>
          <w:color w:val="000000"/>
          <w:sz w:val="14"/>
          <w:szCs w:val="14"/>
        </w:rPr>
        <w:t>Director</w:t>
      </w:r>
      <w:proofErr w:type="gramEnd"/>
      <w:r w:rsidRPr="00BE2AAF">
        <w:rPr>
          <w:rFonts w:ascii="Arial" w:hAnsi="Arial" w:cs="Arial"/>
          <w:bCs/>
          <w:color w:val="000000"/>
          <w:sz w:val="14"/>
          <w:szCs w:val="14"/>
        </w:rPr>
        <w:t xml:space="preserve"> de Liquidaciones y Garantías</w:t>
      </w:r>
    </w:p>
    <w:p w14:paraId="0FB6D5B1" w14:textId="77777777" w:rsidR="00C93AF9" w:rsidRPr="00BE2AAF" w:rsidRDefault="00C93AF9" w:rsidP="00C93AF9">
      <w:pPr>
        <w:shd w:val="clear" w:color="auto" w:fill="FFFFFF" w:themeFill="background1"/>
        <w:ind w:left="991" w:right="284"/>
        <w:jc w:val="both"/>
        <w:rPr>
          <w:rFonts w:ascii="Arial" w:hAnsi="Arial" w:cs="Arial"/>
          <w:bCs/>
          <w:color w:val="000000"/>
          <w:sz w:val="14"/>
          <w:szCs w:val="14"/>
        </w:rPr>
      </w:pPr>
      <w:r>
        <w:rPr>
          <w:rFonts w:ascii="Arial" w:hAnsi="Arial" w:cs="Arial"/>
          <w:bCs/>
          <w:color w:val="000000"/>
          <w:sz w:val="14"/>
          <w:szCs w:val="14"/>
        </w:rPr>
        <w:t xml:space="preserve">Saúl Díaz Olivares – Asesor de la Dirección General encargado de las funciones de la Dirección de Gestión </w:t>
      </w:r>
      <w:r w:rsidRPr="005318B6">
        <w:rPr>
          <w:rFonts w:ascii="Arial" w:hAnsi="Arial" w:cs="Arial"/>
          <w:bCs/>
          <w:color w:val="000000"/>
          <w:sz w:val="14"/>
          <w:szCs w:val="14"/>
        </w:rPr>
        <w:t>de Tecnologías de Información y Comunicaciones</w:t>
      </w:r>
    </w:p>
    <w:p w14:paraId="74309D8C" w14:textId="77777777" w:rsidR="00C93AF9" w:rsidRPr="00BE2AAF" w:rsidRDefault="00C93AF9" w:rsidP="00C93AF9">
      <w:pPr>
        <w:shd w:val="clear" w:color="auto" w:fill="FFFFFF" w:themeFill="background1"/>
        <w:ind w:left="283" w:right="284"/>
        <w:jc w:val="both"/>
        <w:rPr>
          <w:rFonts w:ascii="Arial" w:hAnsi="Arial" w:cs="Arial"/>
          <w:bCs/>
          <w:color w:val="000000"/>
          <w:sz w:val="14"/>
          <w:szCs w:val="14"/>
        </w:rPr>
      </w:pPr>
      <w:r w:rsidRPr="00BE2AAF">
        <w:rPr>
          <w:rFonts w:ascii="Arial" w:hAnsi="Arial" w:cs="Arial"/>
          <w:bCs/>
          <w:color w:val="000000"/>
          <w:sz w:val="14"/>
          <w:szCs w:val="14"/>
        </w:rPr>
        <w:tab/>
      </w:r>
      <w:r w:rsidRPr="00BE2AAF">
        <w:rPr>
          <w:rFonts w:ascii="Arial" w:hAnsi="Arial" w:cs="Arial"/>
          <w:bCs/>
          <w:color w:val="000000"/>
          <w:sz w:val="14"/>
          <w:szCs w:val="14"/>
        </w:rPr>
        <w:tab/>
      </w:r>
    </w:p>
    <w:p w14:paraId="0818F12F" w14:textId="70CCB19C" w:rsidR="00C93AF9" w:rsidRPr="00BE2AAF" w:rsidRDefault="00C93AF9" w:rsidP="00C93AF9">
      <w:pPr>
        <w:shd w:val="clear" w:color="auto" w:fill="FFFFFF" w:themeFill="background1"/>
        <w:ind w:left="283" w:right="284"/>
        <w:jc w:val="both"/>
        <w:rPr>
          <w:rFonts w:ascii="Arial" w:hAnsi="Arial" w:cs="Arial"/>
          <w:bCs/>
          <w:color w:val="000000"/>
          <w:sz w:val="14"/>
          <w:szCs w:val="14"/>
        </w:rPr>
      </w:pPr>
      <w:r w:rsidRPr="00BE2AAF">
        <w:rPr>
          <w:rFonts w:ascii="Arial" w:hAnsi="Arial" w:cs="Arial"/>
          <w:bCs/>
          <w:color w:val="000000"/>
          <w:sz w:val="14"/>
          <w:szCs w:val="14"/>
        </w:rPr>
        <w:t>Revisó:</w:t>
      </w:r>
      <w:r>
        <w:rPr>
          <w:rFonts w:ascii="Arial" w:hAnsi="Arial" w:cs="Arial"/>
          <w:bCs/>
          <w:color w:val="000000"/>
          <w:sz w:val="14"/>
          <w:szCs w:val="14"/>
        </w:rPr>
        <w:t xml:space="preserve">      </w:t>
      </w:r>
      <w:r w:rsidRPr="00BE2AAF">
        <w:rPr>
          <w:rFonts w:ascii="Arial" w:hAnsi="Arial" w:cs="Arial"/>
          <w:bCs/>
          <w:color w:val="000000"/>
          <w:sz w:val="14"/>
          <w:szCs w:val="14"/>
        </w:rPr>
        <w:t xml:space="preserve">Claudia Pulido Buitrago – </w:t>
      </w:r>
      <w:proofErr w:type="gramStart"/>
      <w:r w:rsidRPr="00BE2AAF">
        <w:rPr>
          <w:rFonts w:ascii="Arial" w:hAnsi="Arial" w:cs="Arial"/>
          <w:bCs/>
          <w:color w:val="000000"/>
          <w:sz w:val="14"/>
          <w:szCs w:val="14"/>
        </w:rPr>
        <w:t>Subdirectora</w:t>
      </w:r>
      <w:proofErr w:type="gramEnd"/>
      <w:r w:rsidRPr="00BE2AAF">
        <w:rPr>
          <w:rFonts w:ascii="Arial" w:hAnsi="Arial" w:cs="Arial"/>
          <w:bCs/>
          <w:color w:val="000000"/>
          <w:sz w:val="14"/>
          <w:szCs w:val="14"/>
        </w:rPr>
        <w:t xml:space="preserve"> de Liquidaciones del Aseguramiento</w:t>
      </w:r>
      <w:r>
        <w:rPr>
          <w:rFonts w:ascii="Arial" w:hAnsi="Arial" w:cs="Arial"/>
          <w:bCs/>
          <w:color w:val="000000"/>
          <w:sz w:val="14"/>
          <w:szCs w:val="14"/>
        </w:rPr>
        <w:t xml:space="preserve"> - DLYG</w:t>
      </w:r>
    </w:p>
    <w:p w14:paraId="3FE94C26" w14:textId="3ACADD79" w:rsidR="00C93AF9" w:rsidRPr="00BE2AAF" w:rsidRDefault="00C93AF9" w:rsidP="00C93AF9">
      <w:pPr>
        <w:shd w:val="clear" w:color="auto" w:fill="FFFFFF" w:themeFill="background1"/>
        <w:ind w:left="991" w:right="284"/>
        <w:jc w:val="both"/>
        <w:rPr>
          <w:rFonts w:ascii="Arial" w:hAnsi="Arial" w:cs="Arial"/>
          <w:bCs/>
          <w:color w:val="000000"/>
          <w:sz w:val="14"/>
          <w:szCs w:val="14"/>
        </w:rPr>
      </w:pPr>
      <w:r w:rsidRPr="00BE2AAF">
        <w:rPr>
          <w:rFonts w:ascii="Arial" w:hAnsi="Arial" w:cs="Arial"/>
          <w:bCs/>
          <w:color w:val="000000"/>
          <w:sz w:val="14"/>
          <w:szCs w:val="14"/>
        </w:rPr>
        <w:t>Gina Paola Díaz</w:t>
      </w:r>
      <w:r>
        <w:rPr>
          <w:rFonts w:ascii="Arial" w:hAnsi="Arial" w:cs="Arial"/>
          <w:bCs/>
          <w:color w:val="000000"/>
          <w:sz w:val="14"/>
          <w:szCs w:val="14"/>
        </w:rPr>
        <w:t xml:space="preserve"> Ángulo</w:t>
      </w:r>
      <w:r w:rsidRPr="00BE2AAF">
        <w:rPr>
          <w:rFonts w:ascii="Arial" w:hAnsi="Arial" w:cs="Arial"/>
          <w:bCs/>
          <w:color w:val="000000"/>
          <w:sz w:val="14"/>
          <w:szCs w:val="14"/>
        </w:rPr>
        <w:t xml:space="preserve"> – Coordinadora del Grupo de RS</w:t>
      </w:r>
      <w:r>
        <w:rPr>
          <w:rFonts w:ascii="Arial" w:hAnsi="Arial" w:cs="Arial"/>
          <w:bCs/>
          <w:color w:val="000000"/>
          <w:sz w:val="14"/>
          <w:szCs w:val="14"/>
        </w:rPr>
        <w:t xml:space="preserve"> - DLYG</w:t>
      </w:r>
    </w:p>
    <w:p w14:paraId="741B30DB" w14:textId="614FCA12" w:rsidR="00C93AF9" w:rsidRPr="00BE2AAF" w:rsidRDefault="00C93AF9" w:rsidP="00C93AF9">
      <w:pPr>
        <w:shd w:val="clear" w:color="auto" w:fill="FFFFFF" w:themeFill="background1"/>
        <w:ind w:left="849" w:right="284" w:firstLine="142"/>
        <w:jc w:val="both"/>
        <w:rPr>
          <w:rFonts w:ascii="Arial" w:hAnsi="Arial" w:cs="Arial"/>
          <w:bCs/>
          <w:color w:val="000000"/>
          <w:sz w:val="14"/>
          <w:szCs w:val="14"/>
        </w:rPr>
      </w:pPr>
      <w:r>
        <w:rPr>
          <w:rFonts w:ascii="Arial" w:hAnsi="Arial" w:cs="Arial"/>
          <w:bCs/>
          <w:color w:val="000000"/>
          <w:sz w:val="14"/>
          <w:szCs w:val="14"/>
        </w:rPr>
        <w:t>C</w:t>
      </w:r>
      <w:r>
        <w:rPr>
          <w:rFonts w:ascii="Arial" w:hAnsi="Arial" w:cs="Arial"/>
          <w:bCs/>
          <w:color w:val="000000"/>
          <w:sz w:val="14"/>
          <w:szCs w:val="14"/>
        </w:rPr>
        <w:t>arlos Eduardo Castro Calderón</w:t>
      </w:r>
      <w:r w:rsidRPr="00BE2AAF">
        <w:rPr>
          <w:rFonts w:ascii="Arial" w:hAnsi="Arial" w:cs="Arial"/>
          <w:bCs/>
          <w:color w:val="000000"/>
          <w:sz w:val="14"/>
          <w:szCs w:val="14"/>
        </w:rPr>
        <w:t xml:space="preserve"> – Coordinador del Grupo de RC</w:t>
      </w:r>
      <w:r>
        <w:rPr>
          <w:rFonts w:ascii="Arial" w:hAnsi="Arial" w:cs="Arial"/>
          <w:bCs/>
          <w:color w:val="000000"/>
          <w:sz w:val="14"/>
          <w:szCs w:val="14"/>
        </w:rPr>
        <w:t xml:space="preserve"> - DLYG</w:t>
      </w:r>
    </w:p>
    <w:p w14:paraId="522E46B5" w14:textId="075429F3" w:rsidR="00C93AF9" w:rsidRPr="00BE2AAF" w:rsidRDefault="00C93AF9" w:rsidP="00C93AF9">
      <w:pPr>
        <w:shd w:val="clear" w:color="auto" w:fill="FFFFFF" w:themeFill="background1"/>
        <w:ind w:left="566" w:right="284" w:firstLine="425"/>
        <w:jc w:val="both"/>
        <w:rPr>
          <w:rFonts w:ascii="Arial" w:hAnsi="Arial" w:cs="Arial"/>
          <w:bCs/>
          <w:color w:val="000000"/>
          <w:sz w:val="14"/>
          <w:szCs w:val="14"/>
        </w:rPr>
      </w:pPr>
      <w:r w:rsidRPr="00BE2AAF">
        <w:rPr>
          <w:rFonts w:ascii="Arial" w:hAnsi="Arial" w:cs="Arial"/>
          <w:bCs/>
          <w:color w:val="000000"/>
          <w:sz w:val="14"/>
          <w:szCs w:val="14"/>
        </w:rPr>
        <w:t>Oscar Eduardo Salinas – Coordinador del Grupo de Reintegros</w:t>
      </w:r>
      <w:r>
        <w:rPr>
          <w:rFonts w:ascii="Arial" w:hAnsi="Arial" w:cs="Arial"/>
          <w:bCs/>
          <w:color w:val="000000"/>
          <w:sz w:val="14"/>
          <w:szCs w:val="14"/>
        </w:rPr>
        <w:t xml:space="preserve"> - DLYG</w:t>
      </w:r>
    </w:p>
    <w:p w14:paraId="545B5F0D" w14:textId="77777777" w:rsidR="00C93AF9" w:rsidRPr="00BE2AAF" w:rsidRDefault="00C93AF9" w:rsidP="00C93AF9">
      <w:pPr>
        <w:shd w:val="clear" w:color="auto" w:fill="FFFFFF" w:themeFill="background1"/>
        <w:ind w:left="566" w:right="284" w:firstLine="425"/>
        <w:jc w:val="both"/>
        <w:rPr>
          <w:rFonts w:ascii="Arial" w:hAnsi="Arial" w:cs="Arial"/>
          <w:bCs/>
          <w:color w:val="000000"/>
          <w:sz w:val="14"/>
          <w:szCs w:val="14"/>
        </w:rPr>
      </w:pPr>
      <w:r w:rsidRPr="00BE2AAF">
        <w:rPr>
          <w:rFonts w:ascii="Arial" w:hAnsi="Arial" w:cs="Arial"/>
          <w:bCs/>
          <w:color w:val="000000"/>
          <w:sz w:val="14"/>
          <w:szCs w:val="14"/>
        </w:rPr>
        <w:t>José Leonardo Herrera Quintero – Coordinador Tecnologías y Comunicaciones - DGTIC</w:t>
      </w:r>
    </w:p>
    <w:p w14:paraId="505A52A2" w14:textId="77777777" w:rsidR="00C93AF9" w:rsidRPr="00BE2AAF" w:rsidRDefault="00C93AF9" w:rsidP="00C93AF9">
      <w:pPr>
        <w:shd w:val="clear" w:color="auto" w:fill="FFFFFF" w:themeFill="background1"/>
        <w:ind w:left="283" w:right="284"/>
        <w:jc w:val="both"/>
        <w:rPr>
          <w:rFonts w:ascii="Arial" w:hAnsi="Arial" w:cs="Arial"/>
          <w:bCs/>
          <w:color w:val="000000"/>
          <w:sz w:val="14"/>
          <w:szCs w:val="14"/>
        </w:rPr>
      </w:pPr>
    </w:p>
    <w:p w14:paraId="3420F3AF" w14:textId="3E32470A" w:rsidR="00C93AF9" w:rsidRPr="00BE2AAF" w:rsidRDefault="00C93AF9" w:rsidP="00C93AF9">
      <w:pPr>
        <w:ind w:left="283" w:right="284"/>
        <w:rPr>
          <w:rFonts w:ascii="Arial" w:hAnsi="Arial" w:cs="Arial"/>
          <w:bCs/>
          <w:color w:val="000000"/>
          <w:sz w:val="14"/>
          <w:szCs w:val="14"/>
        </w:rPr>
      </w:pPr>
      <w:r w:rsidRPr="00BE2AAF">
        <w:rPr>
          <w:rFonts w:ascii="Arial" w:hAnsi="Arial" w:cs="Arial"/>
          <w:bCs/>
          <w:color w:val="000000"/>
          <w:sz w:val="14"/>
          <w:szCs w:val="14"/>
        </w:rPr>
        <w:t>Elaboró:</w:t>
      </w:r>
      <w:r>
        <w:rPr>
          <w:rFonts w:ascii="Arial" w:hAnsi="Arial" w:cs="Arial"/>
          <w:bCs/>
          <w:color w:val="000000"/>
          <w:sz w:val="14"/>
          <w:szCs w:val="14"/>
        </w:rPr>
        <w:t xml:space="preserve">     </w:t>
      </w:r>
      <w:r w:rsidRPr="00BE2AAF">
        <w:rPr>
          <w:rFonts w:ascii="Arial" w:hAnsi="Arial" w:cs="Arial"/>
          <w:bCs/>
          <w:color w:val="000000"/>
          <w:sz w:val="14"/>
          <w:szCs w:val="14"/>
        </w:rPr>
        <w:t>María</w:t>
      </w:r>
      <w:r>
        <w:rPr>
          <w:rFonts w:ascii="Arial" w:hAnsi="Arial" w:cs="Arial"/>
          <w:bCs/>
          <w:color w:val="000000"/>
          <w:sz w:val="14"/>
          <w:szCs w:val="14"/>
        </w:rPr>
        <w:t xml:space="preserve"> Antonia</w:t>
      </w:r>
      <w:r w:rsidRPr="00BE2AAF">
        <w:rPr>
          <w:rFonts w:ascii="Arial" w:hAnsi="Arial" w:cs="Arial"/>
          <w:bCs/>
          <w:color w:val="000000"/>
          <w:sz w:val="14"/>
          <w:szCs w:val="14"/>
        </w:rPr>
        <w:t xml:space="preserve"> Benito – Domingo</w:t>
      </w:r>
      <w:r>
        <w:rPr>
          <w:rFonts w:ascii="Arial" w:hAnsi="Arial" w:cs="Arial"/>
          <w:bCs/>
          <w:color w:val="000000"/>
          <w:sz w:val="14"/>
          <w:szCs w:val="14"/>
        </w:rPr>
        <w:t xml:space="preserve"> Rafael</w:t>
      </w:r>
      <w:r w:rsidRPr="00BE2AAF">
        <w:rPr>
          <w:rFonts w:ascii="Arial" w:hAnsi="Arial" w:cs="Arial"/>
          <w:bCs/>
          <w:color w:val="000000"/>
          <w:sz w:val="14"/>
          <w:szCs w:val="14"/>
        </w:rPr>
        <w:t xml:space="preserve"> Pupo – Monica</w:t>
      </w:r>
      <w:r>
        <w:rPr>
          <w:rFonts w:ascii="Arial" w:hAnsi="Arial" w:cs="Arial"/>
          <w:bCs/>
          <w:color w:val="000000"/>
          <w:sz w:val="14"/>
          <w:szCs w:val="14"/>
        </w:rPr>
        <w:t xml:space="preserve"> Leidy</w:t>
      </w:r>
      <w:r w:rsidRPr="00BE2AAF">
        <w:rPr>
          <w:rFonts w:ascii="Arial" w:hAnsi="Arial" w:cs="Arial"/>
          <w:bCs/>
          <w:color w:val="000000"/>
          <w:sz w:val="14"/>
          <w:szCs w:val="14"/>
        </w:rPr>
        <w:t xml:space="preserve"> Buesaquillo </w:t>
      </w:r>
      <w:r>
        <w:rPr>
          <w:rFonts w:ascii="Arial" w:hAnsi="Arial" w:cs="Arial"/>
          <w:bCs/>
          <w:color w:val="000000"/>
          <w:sz w:val="14"/>
          <w:szCs w:val="14"/>
        </w:rPr>
        <w:t>–</w:t>
      </w:r>
      <w:r w:rsidRPr="00BE2AAF">
        <w:rPr>
          <w:rFonts w:ascii="Arial" w:hAnsi="Arial" w:cs="Arial"/>
          <w:bCs/>
          <w:color w:val="000000"/>
          <w:sz w:val="14"/>
          <w:szCs w:val="14"/>
        </w:rPr>
        <w:t xml:space="preserve"> Cristhian</w:t>
      </w:r>
      <w:r>
        <w:rPr>
          <w:rFonts w:ascii="Arial" w:hAnsi="Arial" w:cs="Arial"/>
          <w:bCs/>
          <w:color w:val="000000"/>
          <w:sz w:val="14"/>
          <w:szCs w:val="14"/>
        </w:rPr>
        <w:t xml:space="preserve"> Mauricio</w:t>
      </w:r>
      <w:r w:rsidRPr="00BE2AAF">
        <w:rPr>
          <w:rFonts w:ascii="Arial" w:hAnsi="Arial" w:cs="Arial"/>
          <w:bCs/>
          <w:color w:val="000000"/>
          <w:sz w:val="14"/>
          <w:szCs w:val="14"/>
        </w:rPr>
        <w:t xml:space="preserve"> Hernández – Gestores de Operaciones</w:t>
      </w:r>
    </w:p>
    <w:p w14:paraId="154804D1" w14:textId="2682B6AE" w:rsidR="002133D2" w:rsidRPr="008E1AD8" w:rsidRDefault="00C93AF9" w:rsidP="00C93AF9">
      <w:pPr>
        <w:ind w:left="991" w:right="284"/>
        <w:rPr>
          <w:rFonts w:cs="Arial"/>
          <w:color w:val="000000"/>
        </w:rPr>
      </w:pPr>
      <w:r w:rsidRPr="00BE2AAF">
        <w:rPr>
          <w:rFonts w:ascii="Arial" w:hAnsi="Arial" w:cs="Arial"/>
          <w:bCs/>
          <w:color w:val="000000"/>
          <w:sz w:val="14"/>
          <w:szCs w:val="14"/>
        </w:rPr>
        <w:t xml:space="preserve">Diana Milena Vargas – Andrés Guillermo Bruce Ruiz </w:t>
      </w:r>
      <w:r>
        <w:rPr>
          <w:rFonts w:ascii="Arial" w:hAnsi="Arial" w:cs="Arial"/>
          <w:bCs/>
          <w:color w:val="000000"/>
          <w:sz w:val="14"/>
          <w:szCs w:val="14"/>
        </w:rPr>
        <w:t xml:space="preserve">- </w:t>
      </w:r>
      <w:r w:rsidRPr="00BE2AAF">
        <w:rPr>
          <w:rFonts w:ascii="Arial" w:hAnsi="Arial" w:cs="Arial"/>
          <w:bCs/>
          <w:color w:val="000000"/>
          <w:sz w:val="14"/>
          <w:szCs w:val="14"/>
        </w:rPr>
        <w:t>Contratistas</w:t>
      </w:r>
    </w:p>
    <w:sectPr w:rsidR="002133D2" w:rsidRPr="008E1AD8" w:rsidSect="00C60540">
      <w:headerReference w:type="default" r:id="rId11"/>
      <w:headerReference w:type="first" r:id="rId12"/>
      <w:type w:val="continuous"/>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630AB" w14:textId="77777777" w:rsidR="007D7AF1" w:rsidRDefault="007D7AF1">
      <w:r>
        <w:separator/>
      </w:r>
    </w:p>
  </w:endnote>
  <w:endnote w:type="continuationSeparator" w:id="0">
    <w:p w14:paraId="63E0235B" w14:textId="77777777" w:rsidR="007D7AF1" w:rsidRDefault="007D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A060" w14:textId="77777777" w:rsidR="007D7AF1" w:rsidRDefault="007D7AF1">
      <w:r>
        <w:separator/>
      </w:r>
    </w:p>
  </w:footnote>
  <w:footnote w:type="continuationSeparator" w:id="0">
    <w:p w14:paraId="7D5A8D2E" w14:textId="77777777" w:rsidR="007D7AF1" w:rsidRDefault="007D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FE52" w14:textId="77777777" w:rsidR="00F100C3" w:rsidRDefault="006D4DA9" w:rsidP="0081042E">
    <w:pPr>
      <w:pStyle w:val="Encabezado"/>
      <w:jc w:val="center"/>
      <w:rPr>
        <w:rFonts w:ascii="Arial" w:hAnsi="Arial" w:cs="Arial"/>
        <w:b/>
        <w:bCs/>
        <w:sz w:val="24"/>
      </w:rPr>
    </w:pPr>
    <w:r>
      <w:rPr>
        <w:rFonts w:ascii="Arial" w:hAnsi="Arial" w:cs="Arial"/>
        <w:b/>
        <w:bCs/>
        <w:noProof/>
        <w:sz w:val="24"/>
        <w:lang w:val="en-US"/>
        <w14:ligatures w14:val="standardContextual"/>
      </w:rPr>
      <w:drawing>
        <wp:anchor distT="0" distB="0" distL="114300" distR="114300" simplePos="0" relativeHeight="251664896" behindDoc="1" locked="0" layoutInCell="1" allowOverlap="1" wp14:anchorId="4B26779D" wp14:editId="25FCC026">
          <wp:simplePos x="0" y="0"/>
          <wp:positionH relativeFrom="column">
            <wp:posOffset>-750201</wp:posOffset>
          </wp:positionH>
          <wp:positionV relativeFrom="paragraph">
            <wp:posOffset>-511308</wp:posOffset>
          </wp:positionV>
          <wp:extent cx="7753350" cy="12757150"/>
          <wp:effectExtent l="0" t="0" r="0" b="0"/>
          <wp:wrapNone/>
          <wp:docPr id="1190668645" name="Imagen 1190668645" descr="C:\Users\Ximena\AppData\Local\Microsoft\Windows\INetCache\Content.Word\FONDO PLANTILLA RESOLUCIÓ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mena\AppData\Local\Microsoft\Windows\INetCache\Content.Word\FONDO PLANTILLA RESOLUCIÓ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275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65E9C" w14:textId="77777777" w:rsidR="00F100C3" w:rsidRDefault="00F100C3" w:rsidP="0081042E">
    <w:pPr>
      <w:pStyle w:val="Encabezado"/>
      <w:jc w:val="center"/>
      <w:rPr>
        <w:rFonts w:ascii="Arial" w:hAnsi="Arial" w:cs="Arial"/>
        <w:b/>
        <w:bCs/>
        <w:sz w:val="24"/>
      </w:rPr>
    </w:pPr>
  </w:p>
  <w:p w14:paraId="78E88A2B" w14:textId="77777777" w:rsidR="00F100C3" w:rsidRDefault="00F100C3" w:rsidP="0081042E">
    <w:pPr>
      <w:pStyle w:val="Encabezado"/>
      <w:jc w:val="center"/>
      <w:rPr>
        <w:rFonts w:ascii="Arial" w:hAnsi="Arial" w:cs="Arial"/>
        <w:b/>
        <w:bCs/>
        <w:sz w:val="24"/>
      </w:rPr>
    </w:pPr>
  </w:p>
  <w:p w14:paraId="0C098B6F" w14:textId="77777777" w:rsidR="00530AF3" w:rsidRPr="00530AF3" w:rsidRDefault="00530AF3" w:rsidP="0081042E">
    <w:pPr>
      <w:pStyle w:val="Encabezado"/>
      <w:jc w:val="center"/>
      <w:rPr>
        <w:rFonts w:ascii="Arial" w:hAnsi="Arial" w:cs="Arial"/>
        <w:b/>
        <w:sz w:val="12"/>
        <w:szCs w:val="12"/>
      </w:rPr>
    </w:pPr>
  </w:p>
  <w:p w14:paraId="6536E5E2" w14:textId="77777777" w:rsidR="0027108C" w:rsidRDefault="0027108C" w:rsidP="0081042E">
    <w:pPr>
      <w:pStyle w:val="Encabezado"/>
      <w:jc w:val="center"/>
      <w:rPr>
        <w:rFonts w:ascii="Arial" w:hAnsi="Arial" w:cs="Arial"/>
        <w:b/>
      </w:rPr>
    </w:pPr>
  </w:p>
  <w:p w14:paraId="061DF0A9" w14:textId="77777777" w:rsidR="0027108C" w:rsidRDefault="0027108C" w:rsidP="0081042E">
    <w:pPr>
      <w:pStyle w:val="Encabezado"/>
      <w:jc w:val="center"/>
      <w:rPr>
        <w:rFonts w:ascii="Arial" w:hAnsi="Arial" w:cs="Arial"/>
        <w:b/>
      </w:rPr>
    </w:pPr>
  </w:p>
  <w:p w14:paraId="5533AE5E" w14:textId="22D1751E" w:rsidR="00C60540" w:rsidRDefault="008E1AD8" w:rsidP="00C60540">
    <w:pPr>
      <w:pStyle w:val="Encabezado"/>
      <w:jc w:val="center"/>
      <w:rPr>
        <w:rStyle w:val="Nmerodepgina"/>
        <w:rFonts w:ascii="Arial" w:hAnsi="Arial" w:cs="Arial"/>
        <w:b/>
      </w:rPr>
    </w:pPr>
    <w:r w:rsidRPr="008E1AD8">
      <w:rPr>
        <w:rFonts w:ascii="Arial" w:hAnsi="Arial" w:cs="Arial"/>
        <w:b/>
        <w:sz w:val="23"/>
        <w:szCs w:val="23"/>
      </w:rPr>
      <w:t xml:space="preserve">RESOLUCIÓN NÚMERO </w:t>
    </w:r>
    <w:r w:rsidR="00C93AF9">
      <w:rPr>
        <w:rFonts w:ascii="Arial" w:hAnsi="Arial" w:cs="Arial"/>
        <w:b/>
        <w:sz w:val="23"/>
        <w:szCs w:val="23"/>
      </w:rPr>
      <w:t xml:space="preserve">       </w:t>
    </w:r>
    <w:r w:rsidR="00A6448C" w:rsidRPr="00A6448C">
      <w:rPr>
        <w:rFonts w:ascii="Arial" w:hAnsi="Arial" w:cs="Arial"/>
        <w:b/>
        <w:sz w:val="23"/>
        <w:szCs w:val="23"/>
      </w:rPr>
      <w:t xml:space="preserve"> </w:t>
    </w:r>
    <w:r w:rsidRPr="008E1AD8">
      <w:rPr>
        <w:rFonts w:ascii="Arial" w:hAnsi="Arial" w:cs="Arial"/>
        <w:b/>
        <w:sz w:val="23"/>
        <w:szCs w:val="23"/>
      </w:rPr>
      <w:t>DE 2024</w:t>
    </w:r>
    <w:r w:rsidR="00C60540" w:rsidRPr="000A70E7">
      <w:rPr>
        <w:rFonts w:ascii="Arial" w:hAnsi="Arial" w:cs="Arial"/>
        <w:b/>
        <w:sz w:val="23"/>
        <w:szCs w:val="23"/>
      </w:rPr>
      <w:t xml:space="preserve">                        HOJA No. </w:t>
    </w:r>
    <w:r w:rsidR="00C60540" w:rsidRPr="000A70E7">
      <w:rPr>
        <w:rStyle w:val="Nmerodepgina"/>
        <w:rFonts w:ascii="Arial" w:hAnsi="Arial" w:cs="Arial"/>
        <w:b/>
        <w:sz w:val="23"/>
        <w:szCs w:val="23"/>
      </w:rPr>
      <w:fldChar w:fldCharType="begin"/>
    </w:r>
    <w:r w:rsidR="00C60540" w:rsidRPr="000A70E7">
      <w:rPr>
        <w:rStyle w:val="Nmerodepgina"/>
        <w:rFonts w:ascii="Arial" w:hAnsi="Arial" w:cs="Arial"/>
        <w:b/>
        <w:sz w:val="23"/>
        <w:szCs w:val="23"/>
      </w:rPr>
      <w:instrText xml:space="preserve"> PAGE </w:instrText>
    </w:r>
    <w:r w:rsidR="00C60540" w:rsidRPr="000A70E7">
      <w:rPr>
        <w:rStyle w:val="Nmerodepgina"/>
        <w:rFonts w:ascii="Arial" w:hAnsi="Arial" w:cs="Arial"/>
        <w:b/>
        <w:sz w:val="23"/>
        <w:szCs w:val="23"/>
      </w:rPr>
      <w:fldChar w:fldCharType="separate"/>
    </w:r>
    <w:r w:rsidR="00C60540" w:rsidRPr="000A70E7">
      <w:rPr>
        <w:rStyle w:val="Nmerodepgina"/>
        <w:rFonts w:ascii="Arial" w:hAnsi="Arial" w:cs="Arial"/>
        <w:b/>
        <w:sz w:val="23"/>
        <w:szCs w:val="23"/>
      </w:rPr>
      <w:t>2</w:t>
    </w:r>
    <w:r w:rsidR="00C60540" w:rsidRPr="000A70E7">
      <w:rPr>
        <w:rStyle w:val="Nmerodepgina"/>
        <w:rFonts w:ascii="Arial" w:hAnsi="Arial" w:cs="Arial"/>
        <w:b/>
        <w:sz w:val="23"/>
        <w:szCs w:val="23"/>
      </w:rPr>
      <w:fldChar w:fldCharType="end"/>
    </w:r>
    <w:r w:rsidR="00C60540" w:rsidRPr="000A70E7">
      <w:rPr>
        <w:rStyle w:val="Nmerodepgina"/>
        <w:rFonts w:ascii="Arial" w:hAnsi="Arial" w:cs="Arial"/>
        <w:b/>
        <w:sz w:val="23"/>
        <w:szCs w:val="23"/>
      </w:rPr>
      <w:t xml:space="preserve"> de </w:t>
    </w:r>
    <w:r w:rsidR="00C60540" w:rsidRPr="00E0682A">
      <w:rPr>
        <w:rStyle w:val="Nmerodepgina"/>
        <w:rFonts w:ascii="Arial" w:hAnsi="Arial" w:cs="Arial"/>
        <w:b/>
      </w:rPr>
      <w:fldChar w:fldCharType="begin"/>
    </w:r>
    <w:r w:rsidR="00C60540" w:rsidRPr="00E0682A">
      <w:rPr>
        <w:rStyle w:val="Nmerodepgina"/>
        <w:rFonts w:ascii="Arial" w:hAnsi="Arial" w:cs="Arial"/>
        <w:b/>
      </w:rPr>
      <w:instrText xml:space="preserve"> NUMPAGES  </w:instrText>
    </w:r>
    <w:r w:rsidR="00C60540" w:rsidRPr="00E0682A">
      <w:rPr>
        <w:rStyle w:val="Nmerodepgina"/>
        <w:rFonts w:ascii="Arial" w:hAnsi="Arial" w:cs="Arial"/>
        <w:b/>
      </w:rPr>
      <w:fldChar w:fldCharType="separate"/>
    </w:r>
    <w:r w:rsidR="00C60540">
      <w:rPr>
        <w:rStyle w:val="Nmerodepgina"/>
        <w:rFonts w:ascii="Arial" w:hAnsi="Arial" w:cs="Arial"/>
        <w:b/>
      </w:rPr>
      <w:t>4</w:t>
    </w:r>
    <w:r w:rsidR="00C60540" w:rsidRPr="00E0682A">
      <w:rPr>
        <w:rStyle w:val="Nmerodepgina"/>
        <w:rFonts w:ascii="Arial" w:hAnsi="Arial" w:cs="Arial"/>
        <w:b/>
      </w:rPr>
      <w:fldChar w:fldCharType="end"/>
    </w:r>
  </w:p>
  <w:p w14:paraId="08FCE1B7" w14:textId="77777777" w:rsidR="00C60540" w:rsidRPr="00E0682A" w:rsidRDefault="00C60540" w:rsidP="00C60540">
    <w:pPr>
      <w:pStyle w:val="Encabezado"/>
      <w:jc w:val="center"/>
      <w:rPr>
        <w:rFonts w:ascii="Arial" w:hAnsi="Arial" w:cs="Arial"/>
        <w:u w:val="single"/>
      </w:rPr>
    </w:pPr>
  </w:p>
  <w:p w14:paraId="3AB52F81" w14:textId="2C044439" w:rsidR="00C60540" w:rsidRPr="000A70E7" w:rsidRDefault="007509F0" w:rsidP="00C60540">
    <w:pPr>
      <w:suppressAutoHyphens/>
      <w:jc w:val="center"/>
      <w:rPr>
        <w:rFonts w:ascii="Arial" w:hAnsi="Arial" w:cs="Arial"/>
        <w:iCs/>
        <w:color w:val="000000"/>
        <w:sz w:val="20"/>
        <w:szCs w:val="20"/>
      </w:rPr>
    </w:pPr>
    <w:r w:rsidRPr="000A70E7">
      <w:rPr>
        <w:rFonts w:ascii="Arial" w:hAnsi="Arial" w:cs="Arial"/>
        <w:i/>
        <w:iCs/>
        <w:sz w:val="20"/>
        <w:szCs w:val="20"/>
      </w:rPr>
      <w:t xml:space="preserve">Continuación de la resolución </w:t>
    </w:r>
    <w:r w:rsidR="00C93AF9">
      <w:rPr>
        <w:rFonts w:ascii="Arial" w:hAnsi="Arial" w:cs="Arial"/>
        <w:i/>
        <w:iCs/>
        <w:sz w:val="20"/>
        <w:szCs w:val="20"/>
      </w:rPr>
      <w:t>“</w:t>
    </w:r>
    <w:r w:rsidR="00C93AF9" w:rsidRPr="00C93AF9">
      <w:rPr>
        <w:rFonts w:ascii="Arial" w:hAnsi="Arial" w:cs="Arial"/>
        <w:i/>
        <w:iCs/>
        <w:sz w:val="20"/>
        <w:szCs w:val="20"/>
      </w:rPr>
      <w:t>Por la cual se establecen las condiciones técnicas y operativas relativas a la Base de Datos Única de Afiliados – BDUA y al reconocimiento de recursos del aseguramiento en salud con relación a los afiliados fallecidos y se dictan otras disposiciones</w:t>
    </w:r>
    <w:r w:rsidR="008F3853" w:rsidRPr="008F3853">
      <w:rPr>
        <w:rFonts w:ascii="Arial" w:hAnsi="Arial" w:cs="Arial"/>
        <w:i/>
        <w:iCs/>
        <w:sz w:val="20"/>
        <w:szCs w:val="20"/>
      </w:rPr>
      <w:t>.</w:t>
    </w:r>
    <w:r w:rsidRPr="000A70E7">
      <w:rPr>
        <w:rFonts w:ascii="Arial" w:hAnsi="Arial" w:cs="Arial"/>
        <w:i/>
        <w:iCs/>
        <w:sz w:val="20"/>
        <w:szCs w:val="20"/>
      </w:rPr>
      <w:t>”</w:t>
    </w:r>
  </w:p>
  <w:p w14:paraId="0B3109E4" w14:textId="77777777" w:rsidR="00C60540" w:rsidRPr="00E3441F" w:rsidRDefault="00C60540" w:rsidP="00C60540">
    <w:pPr>
      <w:suppressAutoHyphens/>
      <w:jc w:val="center"/>
      <w:rPr>
        <w:rFonts w:ascii="Arial" w:hAnsi="Arial" w:cs="Arial"/>
        <w:i/>
        <w:iCs/>
        <w:color w:val="000000"/>
        <w:sz w:val="16"/>
        <w:szCs w:val="16"/>
      </w:rPr>
    </w:pPr>
  </w:p>
  <w:p w14:paraId="2698B3FD" w14:textId="77777777" w:rsidR="00C42757" w:rsidRDefault="00C427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9C3C" w14:textId="77777777" w:rsidR="009E113B" w:rsidRDefault="00C93AF9">
    <w:pPr>
      <w:pStyle w:val="Encabezado"/>
      <w:rPr>
        <w:rFonts w:ascii="Arial" w:hAnsi="Arial" w:cs="Arial"/>
        <w:b/>
      </w:rPr>
    </w:pPr>
    <w:r>
      <w:rPr>
        <w:noProof/>
      </w:rPr>
      <w:pict w14:anchorId="10CFE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3.85pt;margin-top:-53.9pt;width:610.5pt;height:1004.5pt;z-index:-251658240">
          <v:imagedata r:id="rId1" o:title="FONDO PLANTILLA RESOLUCIÓN"/>
        </v:shape>
      </w:pict>
    </w:r>
  </w:p>
  <w:p w14:paraId="69D29551" w14:textId="77777777" w:rsidR="009E113B" w:rsidRDefault="009E113B">
    <w:pPr>
      <w:pStyle w:val="Encabezado"/>
      <w:rPr>
        <w:rFonts w:ascii="Arial" w:hAnsi="Arial" w:cs="Arial"/>
        <w:b/>
      </w:rPr>
    </w:pPr>
  </w:p>
  <w:p w14:paraId="4EB7375D" w14:textId="77777777" w:rsidR="009E113B" w:rsidRDefault="009E113B">
    <w:pPr>
      <w:pStyle w:val="Encabezado"/>
      <w:rPr>
        <w:rFonts w:ascii="Arial" w:hAnsi="Arial" w:cs="Arial"/>
        <w:b/>
      </w:rPr>
    </w:pPr>
  </w:p>
  <w:p w14:paraId="65D3DD0C" w14:textId="77777777" w:rsidR="009E113B" w:rsidRDefault="009E113B">
    <w:pPr>
      <w:pStyle w:val="Encabezado"/>
      <w:rPr>
        <w:rFonts w:ascii="Arial" w:hAnsi="Arial" w:cs="Arial"/>
        <w:b/>
      </w:rPr>
    </w:pPr>
  </w:p>
  <w:p w14:paraId="6C79B933" w14:textId="021B31B4" w:rsidR="00C60540" w:rsidRDefault="000A70E7" w:rsidP="000A70E7">
    <w:pPr>
      <w:pStyle w:val="Encabezado"/>
      <w:tabs>
        <w:tab w:val="clear" w:pos="4419"/>
        <w:tab w:val="clear" w:pos="8838"/>
        <w:tab w:val="left" w:pos="3990"/>
      </w:tabs>
      <w:rPr>
        <w:rFonts w:ascii="Arial" w:hAnsi="Arial" w:cs="Arial"/>
        <w:b/>
      </w:rPr>
    </w:pPr>
    <w:bookmarkStart w:id="1" w:name="_Hlk174009999"/>
    <w:r>
      <w:rPr>
        <w:rFonts w:ascii="Arial" w:hAnsi="Arial" w:cs="Arial"/>
        <w:b/>
      </w:rPr>
      <w:tab/>
    </w:r>
  </w:p>
  <w:p w14:paraId="54D66783" w14:textId="14C2D191" w:rsidR="00C60540" w:rsidRPr="000A70E7" w:rsidRDefault="00C60540" w:rsidP="00C60540">
    <w:pPr>
      <w:pStyle w:val="Encabezado"/>
      <w:jc w:val="center"/>
      <w:rPr>
        <w:rFonts w:ascii="Arial" w:hAnsi="Arial" w:cs="Arial"/>
        <w:b/>
        <w:bCs/>
        <w:sz w:val="23"/>
        <w:szCs w:val="23"/>
      </w:rPr>
    </w:pPr>
    <w:r w:rsidRPr="000A70E7">
      <w:rPr>
        <w:rFonts w:ascii="Arial" w:hAnsi="Arial" w:cs="Arial"/>
        <w:b/>
        <w:bCs/>
        <w:sz w:val="23"/>
        <w:szCs w:val="23"/>
      </w:rPr>
      <w:t>ADMINISTRADORA DE LOS RECURSOS DEL SISTEMA GENERAL DE SEGURIDAD SOCIAL EN SALUD – ADRES</w:t>
    </w:r>
  </w:p>
  <w:p w14:paraId="2320395C" w14:textId="77777777" w:rsidR="00C60540" w:rsidRPr="000A70E7" w:rsidRDefault="00C60540" w:rsidP="00C60540">
    <w:pPr>
      <w:pStyle w:val="Encabezado"/>
      <w:jc w:val="center"/>
      <w:rPr>
        <w:rFonts w:ascii="Arial" w:hAnsi="Arial" w:cs="Arial"/>
        <w:b/>
        <w:bCs/>
        <w:sz w:val="23"/>
        <w:szCs w:val="23"/>
      </w:rPr>
    </w:pPr>
  </w:p>
  <w:p w14:paraId="404DF8B6" w14:textId="3380238D" w:rsidR="00C60540" w:rsidRPr="000A70E7" w:rsidRDefault="00C60540" w:rsidP="00C60540">
    <w:pPr>
      <w:pStyle w:val="Encabezado"/>
      <w:jc w:val="center"/>
      <w:rPr>
        <w:rFonts w:ascii="Arial" w:hAnsi="Arial" w:cs="Arial"/>
        <w:b/>
        <w:bCs/>
        <w:sz w:val="23"/>
        <w:szCs w:val="23"/>
      </w:rPr>
    </w:pPr>
    <w:r w:rsidRPr="000A70E7">
      <w:rPr>
        <w:rFonts w:ascii="Arial" w:hAnsi="Arial" w:cs="Arial"/>
        <w:b/>
        <w:bCs/>
        <w:sz w:val="23"/>
        <w:szCs w:val="23"/>
      </w:rPr>
      <w:t xml:space="preserve">RESOLUCIÓN NÚMERO </w:t>
    </w:r>
    <w:r w:rsidR="00C93AF9">
      <w:rPr>
        <w:rFonts w:ascii="Arial" w:hAnsi="Arial" w:cs="Arial"/>
        <w:b/>
        <w:bCs/>
        <w:sz w:val="23"/>
        <w:szCs w:val="23"/>
      </w:rPr>
      <w:t xml:space="preserve">      </w:t>
    </w:r>
    <w:r w:rsidR="00A6448C">
      <w:rPr>
        <w:rFonts w:ascii="Arial" w:hAnsi="Arial" w:cs="Arial"/>
        <w:b/>
        <w:bCs/>
        <w:sz w:val="23"/>
        <w:szCs w:val="23"/>
      </w:rPr>
      <w:t xml:space="preserve"> </w:t>
    </w:r>
    <w:r w:rsidRPr="000A70E7">
      <w:rPr>
        <w:rFonts w:ascii="Arial" w:hAnsi="Arial" w:cs="Arial"/>
        <w:b/>
        <w:bCs/>
        <w:sz w:val="23"/>
        <w:szCs w:val="23"/>
      </w:rPr>
      <w:t>DE 2024</w:t>
    </w:r>
  </w:p>
  <w:p w14:paraId="2161D645" w14:textId="77777777" w:rsidR="000A70E7" w:rsidRPr="000A70E7" w:rsidRDefault="000A70E7" w:rsidP="00C60540">
    <w:pPr>
      <w:pStyle w:val="Encabezado"/>
      <w:jc w:val="center"/>
      <w:rPr>
        <w:rFonts w:ascii="Arial" w:hAnsi="Arial" w:cs="Arial"/>
        <w:b/>
        <w:bCs/>
        <w:sz w:val="23"/>
        <w:szCs w:val="23"/>
      </w:rPr>
    </w:pPr>
  </w:p>
  <w:p w14:paraId="0A4B3C15" w14:textId="55E0B73B" w:rsidR="00C60540" w:rsidRPr="000A70E7" w:rsidRDefault="00C60540" w:rsidP="00C60540">
    <w:pPr>
      <w:adjustRightInd w:val="0"/>
      <w:jc w:val="center"/>
      <w:rPr>
        <w:rFonts w:ascii="Arial" w:hAnsi="Arial" w:cs="Arial"/>
        <w:color w:val="000000"/>
        <w:sz w:val="23"/>
        <w:szCs w:val="23"/>
      </w:rPr>
    </w:pPr>
    <w:r w:rsidRPr="000A70E7">
      <w:rPr>
        <w:rFonts w:ascii="Arial" w:hAnsi="Arial" w:cs="Arial"/>
        <w:color w:val="000000"/>
        <w:sz w:val="23"/>
        <w:szCs w:val="23"/>
      </w:rPr>
      <w:t>()</w:t>
    </w:r>
  </w:p>
  <w:p w14:paraId="23552692" w14:textId="77777777" w:rsidR="000A70E7" w:rsidRDefault="000A70E7" w:rsidP="00C60540">
    <w:pPr>
      <w:adjustRightInd w:val="0"/>
      <w:jc w:val="center"/>
      <w:rPr>
        <w:rFonts w:ascii="Arial" w:hAnsi="Arial" w:cs="Arial"/>
        <w:color w:val="000000"/>
      </w:rPr>
    </w:pPr>
  </w:p>
  <w:p w14:paraId="118DA5B8" w14:textId="77777777" w:rsidR="000A70E7" w:rsidRPr="00630BBB" w:rsidRDefault="000A70E7" w:rsidP="00C60540">
    <w:pPr>
      <w:adjustRightInd w:val="0"/>
      <w:jc w:val="center"/>
      <w:rPr>
        <w:rFonts w:ascii="Arial" w:hAnsi="Arial" w:cs="Arial"/>
        <w:color w:val="000000"/>
      </w:rPr>
    </w:pPr>
  </w:p>
  <w:p w14:paraId="4E2FC2F0" w14:textId="4A0F6F0B" w:rsidR="00C60540" w:rsidRPr="009E113B" w:rsidRDefault="00C60540" w:rsidP="00C60540">
    <w:pPr>
      <w:rPr>
        <w:rFonts w:ascii="Arial" w:hAnsi="Arial" w:cs="Arial"/>
        <w:b/>
      </w:rPr>
    </w:pPr>
    <w:r w:rsidRPr="00026CF9">
      <w:rPr>
        <w:rFonts w:ascii="Verdana" w:hAnsi="Verdana" w:cs="Arial"/>
        <w:color w:val="000000"/>
      </w:rPr>
      <w:t>---------------------------------------------------------------------------------------</w:t>
    </w:r>
    <w:bookmarkEnd w:id="1"/>
    <w:r>
      <w:rPr>
        <w:rFonts w:ascii="Verdana" w:hAnsi="Verdana" w:cs="Arial"/>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D25C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F4B2C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1B1032B"/>
    <w:multiLevelType w:val="multilevel"/>
    <w:tmpl w:val="4BCC22DC"/>
    <w:lvl w:ilvl="0">
      <w:start w:val="1"/>
      <w:numFmt w:val="decimal"/>
      <w:lvlText w:val="%1"/>
      <w:lvlJc w:val="left"/>
      <w:pPr>
        <w:ind w:left="360" w:hanging="360"/>
      </w:pPr>
      <w:rPr>
        <w:rFonts w:eastAsia="Arial" w:hint="default"/>
        <w:b/>
        <w:color w:val="auto"/>
      </w:rPr>
    </w:lvl>
    <w:lvl w:ilvl="1">
      <w:start w:val="1"/>
      <w:numFmt w:val="decimal"/>
      <w:lvlText w:val="%1.%2"/>
      <w:lvlJc w:val="left"/>
      <w:pPr>
        <w:ind w:left="360" w:hanging="360"/>
      </w:pPr>
      <w:rPr>
        <w:rFonts w:eastAsia="Arial" w:hint="default"/>
        <w:b/>
        <w:color w:val="auto"/>
      </w:rPr>
    </w:lvl>
    <w:lvl w:ilvl="2">
      <w:start w:val="1"/>
      <w:numFmt w:val="decimal"/>
      <w:lvlText w:val="%1.%2.%3"/>
      <w:lvlJc w:val="left"/>
      <w:pPr>
        <w:ind w:left="720" w:hanging="720"/>
      </w:pPr>
      <w:rPr>
        <w:rFonts w:eastAsia="Arial" w:hint="default"/>
        <w:b/>
        <w:color w:val="auto"/>
      </w:rPr>
    </w:lvl>
    <w:lvl w:ilvl="3">
      <w:start w:val="1"/>
      <w:numFmt w:val="decimal"/>
      <w:lvlText w:val="%1.%2.%3.%4"/>
      <w:lvlJc w:val="left"/>
      <w:pPr>
        <w:ind w:left="720" w:hanging="720"/>
      </w:pPr>
      <w:rPr>
        <w:rFonts w:eastAsia="Arial" w:hint="default"/>
        <w:b/>
        <w:color w:val="auto"/>
      </w:rPr>
    </w:lvl>
    <w:lvl w:ilvl="4">
      <w:start w:val="1"/>
      <w:numFmt w:val="decimal"/>
      <w:lvlText w:val="%1.%2.%3.%4.%5"/>
      <w:lvlJc w:val="left"/>
      <w:pPr>
        <w:ind w:left="1080" w:hanging="1080"/>
      </w:pPr>
      <w:rPr>
        <w:rFonts w:eastAsia="Arial" w:hint="default"/>
        <w:b/>
        <w:color w:val="auto"/>
      </w:rPr>
    </w:lvl>
    <w:lvl w:ilvl="5">
      <w:start w:val="1"/>
      <w:numFmt w:val="decimal"/>
      <w:lvlText w:val="%1.%2.%3.%4.%5.%6"/>
      <w:lvlJc w:val="left"/>
      <w:pPr>
        <w:ind w:left="1080" w:hanging="1080"/>
      </w:pPr>
      <w:rPr>
        <w:rFonts w:eastAsia="Arial" w:hint="default"/>
        <w:b/>
        <w:color w:val="auto"/>
      </w:rPr>
    </w:lvl>
    <w:lvl w:ilvl="6">
      <w:start w:val="1"/>
      <w:numFmt w:val="decimal"/>
      <w:lvlText w:val="%1.%2.%3.%4.%5.%6.%7"/>
      <w:lvlJc w:val="left"/>
      <w:pPr>
        <w:ind w:left="1440" w:hanging="1440"/>
      </w:pPr>
      <w:rPr>
        <w:rFonts w:eastAsia="Arial" w:hint="default"/>
        <w:b/>
        <w:color w:val="auto"/>
      </w:rPr>
    </w:lvl>
    <w:lvl w:ilvl="7">
      <w:start w:val="1"/>
      <w:numFmt w:val="decimal"/>
      <w:lvlText w:val="%1.%2.%3.%4.%5.%6.%7.%8"/>
      <w:lvlJc w:val="left"/>
      <w:pPr>
        <w:ind w:left="1440" w:hanging="1440"/>
      </w:pPr>
      <w:rPr>
        <w:rFonts w:eastAsia="Arial" w:hint="default"/>
        <w:b/>
        <w:color w:val="auto"/>
      </w:rPr>
    </w:lvl>
    <w:lvl w:ilvl="8">
      <w:start w:val="1"/>
      <w:numFmt w:val="decimal"/>
      <w:lvlText w:val="%1.%2.%3.%4.%5.%6.%7.%8.%9"/>
      <w:lvlJc w:val="left"/>
      <w:pPr>
        <w:ind w:left="1440" w:hanging="1440"/>
      </w:pPr>
      <w:rPr>
        <w:rFonts w:eastAsia="Arial" w:hint="default"/>
        <w:b/>
        <w:color w:val="auto"/>
      </w:rPr>
    </w:lvl>
  </w:abstractNum>
  <w:abstractNum w:abstractNumId="3" w15:restartNumberingAfterBreak="0">
    <w:nsid w:val="048AC41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5B763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E14704"/>
    <w:multiLevelType w:val="hybridMultilevel"/>
    <w:tmpl w:val="4B64B7C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E69556C"/>
    <w:multiLevelType w:val="hybridMultilevel"/>
    <w:tmpl w:val="52E8E5EE"/>
    <w:lvl w:ilvl="0" w:tplc="176834F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20353FD9"/>
    <w:multiLevelType w:val="hybridMultilevel"/>
    <w:tmpl w:val="6CC64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B5201A"/>
    <w:multiLevelType w:val="multilevel"/>
    <w:tmpl w:val="90AC82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2708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AE3A1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8493D"/>
    <w:multiLevelType w:val="hybridMultilevel"/>
    <w:tmpl w:val="E6F87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F2607C7"/>
    <w:multiLevelType w:val="multilevel"/>
    <w:tmpl w:val="3544F6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1">
    <w:nsid w:val="30242431"/>
    <w:multiLevelType w:val="hybridMultilevel"/>
    <w:tmpl w:val="D9CCEDA8"/>
    <w:lvl w:ilvl="0" w:tplc="DA08253A">
      <w:start w:val="1"/>
      <w:numFmt w:val="decimal"/>
      <w:lvlText w:val="%1."/>
      <w:lvlJc w:val="left"/>
      <w:pPr>
        <w:ind w:left="720" w:hanging="360"/>
      </w:pPr>
      <w:rPr>
        <w:rFonts w:ascii="Arial" w:hAnsi="Arial" w:cs="Arial" w:hint="default"/>
        <w:color w:val="auto"/>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745505"/>
    <w:multiLevelType w:val="hybridMultilevel"/>
    <w:tmpl w:val="C04A645C"/>
    <w:lvl w:ilvl="0" w:tplc="900815E0">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38FD02BB"/>
    <w:multiLevelType w:val="hybridMultilevel"/>
    <w:tmpl w:val="BD5E39A8"/>
    <w:lvl w:ilvl="0" w:tplc="3A1A866E">
      <w:start w:val="1"/>
      <w:numFmt w:val="decimal"/>
      <w:lvlText w:val="%1."/>
      <w:lvlJc w:val="left"/>
      <w:pPr>
        <w:ind w:left="720" w:hanging="360"/>
      </w:pPr>
      <w:rPr>
        <w:rFonts w:hint="default"/>
        <w:b w:val="0"/>
        <w:bCs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4E5BF0"/>
    <w:multiLevelType w:val="hybridMultilevel"/>
    <w:tmpl w:val="E41A46A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1D5C0C"/>
    <w:multiLevelType w:val="multilevel"/>
    <w:tmpl w:val="9982C0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EE2B7A"/>
    <w:multiLevelType w:val="multilevel"/>
    <w:tmpl w:val="280CC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B5493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43A0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AA21679"/>
    <w:multiLevelType w:val="hybridMultilevel"/>
    <w:tmpl w:val="A726EA6C"/>
    <w:lvl w:ilvl="0" w:tplc="64AE05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D14FDD"/>
    <w:multiLevelType w:val="hybridMultilevel"/>
    <w:tmpl w:val="729A1BE6"/>
    <w:lvl w:ilvl="0" w:tplc="900815E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5967E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7030068">
    <w:abstractNumId w:val="2"/>
  </w:num>
  <w:num w:numId="2" w16cid:durableId="955529605">
    <w:abstractNumId w:val="12"/>
  </w:num>
  <w:num w:numId="3" w16cid:durableId="510023454">
    <w:abstractNumId w:val="13"/>
  </w:num>
  <w:num w:numId="4" w16cid:durableId="934480710">
    <w:abstractNumId w:val="21"/>
  </w:num>
  <w:num w:numId="5" w16cid:durableId="860750977">
    <w:abstractNumId w:val="18"/>
  </w:num>
  <w:num w:numId="6" w16cid:durableId="747072962">
    <w:abstractNumId w:val="20"/>
  </w:num>
  <w:num w:numId="7" w16cid:durableId="1024595107">
    <w:abstractNumId w:val="4"/>
  </w:num>
  <w:num w:numId="8" w16cid:durableId="1643583434">
    <w:abstractNumId w:val="0"/>
  </w:num>
  <w:num w:numId="9" w16cid:durableId="5326656">
    <w:abstractNumId w:val="1"/>
  </w:num>
  <w:num w:numId="10" w16cid:durableId="2073187039">
    <w:abstractNumId w:val="3"/>
  </w:num>
  <w:num w:numId="11" w16cid:durableId="8724255">
    <w:abstractNumId w:val="17"/>
  </w:num>
  <w:num w:numId="12" w16cid:durableId="1898124576">
    <w:abstractNumId w:val="8"/>
  </w:num>
  <w:num w:numId="13" w16cid:durableId="1164858767">
    <w:abstractNumId w:val="10"/>
  </w:num>
  <w:num w:numId="14" w16cid:durableId="1052076609">
    <w:abstractNumId w:val="16"/>
  </w:num>
  <w:num w:numId="15" w16cid:durableId="321392258">
    <w:abstractNumId w:val="5"/>
  </w:num>
  <w:num w:numId="16" w16cid:durableId="218173663">
    <w:abstractNumId w:val="11"/>
  </w:num>
  <w:num w:numId="17" w16cid:durableId="2087342677">
    <w:abstractNumId w:val="22"/>
  </w:num>
  <w:num w:numId="18" w16cid:durableId="1686326548">
    <w:abstractNumId w:val="14"/>
  </w:num>
  <w:num w:numId="19" w16cid:durableId="1833180508">
    <w:abstractNumId w:val="19"/>
  </w:num>
  <w:num w:numId="20" w16cid:durableId="1506476371">
    <w:abstractNumId w:val="23"/>
  </w:num>
  <w:num w:numId="21" w16cid:durableId="1889105095">
    <w:abstractNumId w:val="9"/>
  </w:num>
  <w:num w:numId="22" w16cid:durableId="1874033142">
    <w:abstractNumId w:val="7"/>
  </w:num>
  <w:num w:numId="23" w16cid:durableId="1520894925">
    <w:abstractNumId w:val="6"/>
  </w:num>
  <w:num w:numId="24" w16cid:durableId="163135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CA"/>
    <w:rsid w:val="000010D8"/>
    <w:rsid w:val="000036D4"/>
    <w:rsid w:val="000057A7"/>
    <w:rsid w:val="00010A98"/>
    <w:rsid w:val="00014CA7"/>
    <w:rsid w:val="00015329"/>
    <w:rsid w:val="0002661E"/>
    <w:rsid w:val="00026CAC"/>
    <w:rsid w:val="00033D0A"/>
    <w:rsid w:val="000346A4"/>
    <w:rsid w:val="00041264"/>
    <w:rsid w:val="000428C6"/>
    <w:rsid w:val="00044EE0"/>
    <w:rsid w:val="000460DC"/>
    <w:rsid w:val="00052A43"/>
    <w:rsid w:val="00062A31"/>
    <w:rsid w:val="00063254"/>
    <w:rsid w:val="00070807"/>
    <w:rsid w:val="00072634"/>
    <w:rsid w:val="00082095"/>
    <w:rsid w:val="00090182"/>
    <w:rsid w:val="00090C42"/>
    <w:rsid w:val="00092A2D"/>
    <w:rsid w:val="00092B97"/>
    <w:rsid w:val="000934E1"/>
    <w:rsid w:val="000937D9"/>
    <w:rsid w:val="00093D71"/>
    <w:rsid w:val="00093FD8"/>
    <w:rsid w:val="00094BAD"/>
    <w:rsid w:val="000A3B33"/>
    <w:rsid w:val="000A5025"/>
    <w:rsid w:val="000A70E7"/>
    <w:rsid w:val="000B792E"/>
    <w:rsid w:val="000C1BC3"/>
    <w:rsid w:val="000D14F1"/>
    <w:rsid w:val="000E26A0"/>
    <w:rsid w:val="000E6D56"/>
    <w:rsid w:val="000E7C18"/>
    <w:rsid w:val="000F3A63"/>
    <w:rsid w:val="000F602D"/>
    <w:rsid w:val="000F688B"/>
    <w:rsid w:val="00100F72"/>
    <w:rsid w:val="001017A8"/>
    <w:rsid w:val="00102B9F"/>
    <w:rsid w:val="00104435"/>
    <w:rsid w:val="00104C6C"/>
    <w:rsid w:val="00104D9B"/>
    <w:rsid w:val="001108E9"/>
    <w:rsid w:val="00113FE1"/>
    <w:rsid w:val="00121C46"/>
    <w:rsid w:val="0013210A"/>
    <w:rsid w:val="001363A4"/>
    <w:rsid w:val="00145B4D"/>
    <w:rsid w:val="00154BCB"/>
    <w:rsid w:val="00155B8D"/>
    <w:rsid w:val="00156646"/>
    <w:rsid w:val="001665BA"/>
    <w:rsid w:val="0017202E"/>
    <w:rsid w:val="00173338"/>
    <w:rsid w:val="00175023"/>
    <w:rsid w:val="00176536"/>
    <w:rsid w:val="00180C61"/>
    <w:rsid w:val="001810B6"/>
    <w:rsid w:val="00196F9D"/>
    <w:rsid w:val="001A29A1"/>
    <w:rsid w:val="001A5140"/>
    <w:rsid w:val="001B1CFB"/>
    <w:rsid w:val="001B5EFC"/>
    <w:rsid w:val="001B7496"/>
    <w:rsid w:val="001B76BC"/>
    <w:rsid w:val="001C640C"/>
    <w:rsid w:val="001D4B44"/>
    <w:rsid w:val="001E26C9"/>
    <w:rsid w:val="00201709"/>
    <w:rsid w:val="00210A11"/>
    <w:rsid w:val="00210A9C"/>
    <w:rsid w:val="002133D2"/>
    <w:rsid w:val="0022225B"/>
    <w:rsid w:val="00225386"/>
    <w:rsid w:val="00227BE2"/>
    <w:rsid w:val="00230B13"/>
    <w:rsid w:val="00232A3F"/>
    <w:rsid w:val="002442F0"/>
    <w:rsid w:val="002444AB"/>
    <w:rsid w:val="002501BA"/>
    <w:rsid w:val="002515D5"/>
    <w:rsid w:val="00252BE7"/>
    <w:rsid w:val="00254C3C"/>
    <w:rsid w:val="00262698"/>
    <w:rsid w:val="00264644"/>
    <w:rsid w:val="0027108C"/>
    <w:rsid w:val="00274107"/>
    <w:rsid w:val="002741DE"/>
    <w:rsid w:val="00275319"/>
    <w:rsid w:val="002810A7"/>
    <w:rsid w:val="00282B1A"/>
    <w:rsid w:val="00283B10"/>
    <w:rsid w:val="00287EED"/>
    <w:rsid w:val="00290FE8"/>
    <w:rsid w:val="002A182A"/>
    <w:rsid w:val="002A220C"/>
    <w:rsid w:val="002B355D"/>
    <w:rsid w:val="002B4978"/>
    <w:rsid w:val="002B7475"/>
    <w:rsid w:val="002C0D0F"/>
    <w:rsid w:val="002C1C56"/>
    <w:rsid w:val="002C2914"/>
    <w:rsid w:val="002C3164"/>
    <w:rsid w:val="002C4A43"/>
    <w:rsid w:val="002C7777"/>
    <w:rsid w:val="002D146A"/>
    <w:rsid w:val="002D237F"/>
    <w:rsid w:val="002D2AD0"/>
    <w:rsid w:val="002D5E3E"/>
    <w:rsid w:val="002E0F4B"/>
    <w:rsid w:val="002E5BF1"/>
    <w:rsid w:val="002F5D87"/>
    <w:rsid w:val="00301CB4"/>
    <w:rsid w:val="003166B6"/>
    <w:rsid w:val="0031688B"/>
    <w:rsid w:val="003224FE"/>
    <w:rsid w:val="00333DD3"/>
    <w:rsid w:val="00333FAE"/>
    <w:rsid w:val="00336066"/>
    <w:rsid w:val="0033679A"/>
    <w:rsid w:val="00351E17"/>
    <w:rsid w:val="003565BC"/>
    <w:rsid w:val="00362BB4"/>
    <w:rsid w:val="00362FFA"/>
    <w:rsid w:val="00370880"/>
    <w:rsid w:val="003746E2"/>
    <w:rsid w:val="0037700B"/>
    <w:rsid w:val="0037733C"/>
    <w:rsid w:val="00395DCF"/>
    <w:rsid w:val="00395E3B"/>
    <w:rsid w:val="00397038"/>
    <w:rsid w:val="003A048A"/>
    <w:rsid w:val="003B0449"/>
    <w:rsid w:val="003B3761"/>
    <w:rsid w:val="003B4A72"/>
    <w:rsid w:val="003B4DCB"/>
    <w:rsid w:val="003B53DA"/>
    <w:rsid w:val="003B6BE9"/>
    <w:rsid w:val="003C10BD"/>
    <w:rsid w:val="003C2B16"/>
    <w:rsid w:val="003D28CF"/>
    <w:rsid w:val="003E0B8F"/>
    <w:rsid w:val="003E0F28"/>
    <w:rsid w:val="003F331D"/>
    <w:rsid w:val="003F33FB"/>
    <w:rsid w:val="003F4651"/>
    <w:rsid w:val="003F4AD0"/>
    <w:rsid w:val="003F605E"/>
    <w:rsid w:val="004000BA"/>
    <w:rsid w:val="00400D93"/>
    <w:rsid w:val="00401014"/>
    <w:rsid w:val="0040191D"/>
    <w:rsid w:val="004028E7"/>
    <w:rsid w:val="00405053"/>
    <w:rsid w:val="00407E53"/>
    <w:rsid w:val="00412E60"/>
    <w:rsid w:val="004178CC"/>
    <w:rsid w:val="0042258F"/>
    <w:rsid w:val="004232C7"/>
    <w:rsid w:val="00425FCC"/>
    <w:rsid w:val="00433C35"/>
    <w:rsid w:val="00433D5D"/>
    <w:rsid w:val="004356A1"/>
    <w:rsid w:val="00436C8F"/>
    <w:rsid w:val="00442ED1"/>
    <w:rsid w:val="004559DD"/>
    <w:rsid w:val="00461BEA"/>
    <w:rsid w:val="00474161"/>
    <w:rsid w:val="00474973"/>
    <w:rsid w:val="004813C3"/>
    <w:rsid w:val="004901E0"/>
    <w:rsid w:val="00491B25"/>
    <w:rsid w:val="004A14FC"/>
    <w:rsid w:val="004B6303"/>
    <w:rsid w:val="004C3E53"/>
    <w:rsid w:val="004C4CE7"/>
    <w:rsid w:val="004C5D4E"/>
    <w:rsid w:val="004D680B"/>
    <w:rsid w:val="00504CC1"/>
    <w:rsid w:val="0050665B"/>
    <w:rsid w:val="005066C5"/>
    <w:rsid w:val="00511CCC"/>
    <w:rsid w:val="00514E9B"/>
    <w:rsid w:val="00524877"/>
    <w:rsid w:val="00524EA5"/>
    <w:rsid w:val="00530AF3"/>
    <w:rsid w:val="00530ED2"/>
    <w:rsid w:val="005447F8"/>
    <w:rsid w:val="0054576F"/>
    <w:rsid w:val="00552A76"/>
    <w:rsid w:val="0055469E"/>
    <w:rsid w:val="00555FD5"/>
    <w:rsid w:val="00560DCE"/>
    <w:rsid w:val="00563B47"/>
    <w:rsid w:val="00575248"/>
    <w:rsid w:val="0058184C"/>
    <w:rsid w:val="005859FE"/>
    <w:rsid w:val="00587307"/>
    <w:rsid w:val="00587EF1"/>
    <w:rsid w:val="00594B32"/>
    <w:rsid w:val="005A4E13"/>
    <w:rsid w:val="005A575A"/>
    <w:rsid w:val="005A7F13"/>
    <w:rsid w:val="005A7F79"/>
    <w:rsid w:val="005B7D08"/>
    <w:rsid w:val="005C04D7"/>
    <w:rsid w:val="005C286A"/>
    <w:rsid w:val="005C60AE"/>
    <w:rsid w:val="005C6BFF"/>
    <w:rsid w:val="005E49B6"/>
    <w:rsid w:val="005F56F0"/>
    <w:rsid w:val="005F5796"/>
    <w:rsid w:val="006068C8"/>
    <w:rsid w:val="00615B9B"/>
    <w:rsid w:val="006166DD"/>
    <w:rsid w:val="0062197E"/>
    <w:rsid w:val="006335CD"/>
    <w:rsid w:val="0063375C"/>
    <w:rsid w:val="00635A84"/>
    <w:rsid w:val="0063794B"/>
    <w:rsid w:val="00643BD1"/>
    <w:rsid w:val="00651E85"/>
    <w:rsid w:val="006534C5"/>
    <w:rsid w:val="00655C3D"/>
    <w:rsid w:val="006634B7"/>
    <w:rsid w:val="00676C79"/>
    <w:rsid w:val="00680DA3"/>
    <w:rsid w:val="00680FFF"/>
    <w:rsid w:val="00682F0C"/>
    <w:rsid w:val="006849CC"/>
    <w:rsid w:val="00685C57"/>
    <w:rsid w:val="0068781B"/>
    <w:rsid w:val="00690B58"/>
    <w:rsid w:val="006A3014"/>
    <w:rsid w:val="006A5250"/>
    <w:rsid w:val="006A620C"/>
    <w:rsid w:val="006B00FC"/>
    <w:rsid w:val="006B1E36"/>
    <w:rsid w:val="006C1E34"/>
    <w:rsid w:val="006C26F8"/>
    <w:rsid w:val="006C5508"/>
    <w:rsid w:val="006C57C0"/>
    <w:rsid w:val="006C6BFE"/>
    <w:rsid w:val="006D07E5"/>
    <w:rsid w:val="006D4DA9"/>
    <w:rsid w:val="006D5940"/>
    <w:rsid w:val="006E1114"/>
    <w:rsid w:val="006E278C"/>
    <w:rsid w:val="006E5E70"/>
    <w:rsid w:val="006F002B"/>
    <w:rsid w:val="0070045E"/>
    <w:rsid w:val="00702427"/>
    <w:rsid w:val="007037B6"/>
    <w:rsid w:val="007045B3"/>
    <w:rsid w:val="00705DAE"/>
    <w:rsid w:val="00721856"/>
    <w:rsid w:val="00732928"/>
    <w:rsid w:val="00732EEC"/>
    <w:rsid w:val="007406A3"/>
    <w:rsid w:val="00746BB1"/>
    <w:rsid w:val="007509F0"/>
    <w:rsid w:val="00754B79"/>
    <w:rsid w:val="00761037"/>
    <w:rsid w:val="00762525"/>
    <w:rsid w:val="0076302C"/>
    <w:rsid w:val="007701AD"/>
    <w:rsid w:val="00790BB8"/>
    <w:rsid w:val="00791CCA"/>
    <w:rsid w:val="0079685D"/>
    <w:rsid w:val="007A40FE"/>
    <w:rsid w:val="007A5E78"/>
    <w:rsid w:val="007B41CB"/>
    <w:rsid w:val="007B66E6"/>
    <w:rsid w:val="007B68D4"/>
    <w:rsid w:val="007C04EC"/>
    <w:rsid w:val="007D138A"/>
    <w:rsid w:val="007D2233"/>
    <w:rsid w:val="007D2D89"/>
    <w:rsid w:val="007D6918"/>
    <w:rsid w:val="007D7913"/>
    <w:rsid w:val="007D7AF1"/>
    <w:rsid w:val="007E3FF0"/>
    <w:rsid w:val="007E5C45"/>
    <w:rsid w:val="007E6E1E"/>
    <w:rsid w:val="007F1C43"/>
    <w:rsid w:val="007F1DF1"/>
    <w:rsid w:val="007F2BB5"/>
    <w:rsid w:val="007F56A0"/>
    <w:rsid w:val="007F727D"/>
    <w:rsid w:val="00803FC6"/>
    <w:rsid w:val="0081042E"/>
    <w:rsid w:val="0081388F"/>
    <w:rsid w:val="0082612F"/>
    <w:rsid w:val="00830C7C"/>
    <w:rsid w:val="00830CE1"/>
    <w:rsid w:val="00836972"/>
    <w:rsid w:val="0084551D"/>
    <w:rsid w:val="00855212"/>
    <w:rsid w:val="008556B1"/>
    <w:rsid w:val="00855896"/>
    <w:rsid w:val="00866061"/>
    <w:rsid w:val="0087181B"/>
    <w:rsid w:val="0088241B"/>
    <w:rsid w:val="0088250D"/>
    <w:rsid w:val="00884976"/>
    <w:rsid w:val="00886A35"/>
    <w:rsid w:val="00892169"/>
    <w:rsid w:val="00893E8D"/>
    <w:rsid w:val="008940ED"/>
    <w:rsid w:val="008950DA"/>
    <w:rsid w:val="008953A4"/>
    <w:rsid w:val="008A45E4"/>
    <w:rsid w:val="008A7CBB"/>
    <w:rsid w:val="008C64D9"/>
    <w:rsid w:val="008D2495"/>
    <w:rsid w:val="008D2E94"/>
    <w:rsid w:val="008E1AD8"/>
    <w:rsid w:val="008F3853"/>
    <w:rsid w:val="008F5733"/>
    <w:rsid w:val="008F64B8"/>
    <w:rsid w:val="00902F77"/>
    <w:rsid w:val="00911E2D"/>
    <w:rsid w:val="00921D89"/>
    <w:rsid w:val="00927AF7"/>
    <w:rsid w:val="009316C4"/>
    <w:rsid w:val="00936481"/>
    <w:rsid w:val="00942B45"/>
    <w:rsid w:val="00951DE3"/>
    <w:rsid w:val="00954D3C"/>
    <w:rsid w:val="009607E8"/>
    <w:rsid w:val="009650B4"/>
    <w:rsid w:val="00974885"/>
    <w:rsid w:val="0097683D"/>
    <w:rsid w:val="00981122"/>
    <w:rsid w:val="00981A67"/>
    <w:rsid w:val="00985247"/>
    <w:rsid w:val="00985631"/>
    <w:rsid w:val="00996470"/>
    <w:rsid w:val="009A2B93"/>
    <w:rsid w:val="009B2D72"/>
    <w:rsid w:val="009B5E29"/>
    <w:rsid w:val="009B6815"/>
    <w:rsid w:val="009C382F"/>
    <w:rsid w:val="009C4FE2"/>
    <w:rsid w:val="009D0500"/>
    <w:rsid w:val="009D2E4A"/>
    <w:rsid w:val="009E113B"/>
    <w:rsid w:val="009E5521"/>
    <w:rsid w:val="00A0500D"/>
    <w:rsid w:val="00A13CF4"/>
    <w:rsid w:val="00A146EF"/>
    <w:rsid w:val="00A26F66"/>
    <w:rsid w:val="00A34F04"/>
    <w:rsid w:val="00A41424"/>
    <w:rsid w:val="00A51D65"/>
    <w:rsid w:val="00A51F1D"/>
    <w:rsid w:val="00A54347"/>
    <w:rsid w:val="00A62AC7"/>
    <w:rsid w:val="00A6448C"/>
    <w:rsid w:val="00A742D0"/>
    <w:rsid w:val="00A80CC7"/>
    <w:rsid w:val="00A827D3"/>
    <w:rsid w:val="00AB27D6"/>
    <w:rsid w:val="00AB6DC7"/>
    <w:rsid w:val="00AC1233"/>
    <w:rsid w:val="00AC39A6"/>
    <w:rsid w:val="00AC4C08"/>
    <w:rsid w:val="00AE19F0"/>
    <w:rsid w:val="00AE1C21"/>
    <w:rsid w:val="00AE2FAC"/>
    <w:rsid w:val="00AE7828"/>
    <w:rsid w:val="00AF5720"/>
    <w:rsid w:val="00B03920"/>
    <w:rsid w:val="00B05A5A"/>
    <w:rsid w:val="00B064CE"/>
    <w:rsid w:val="00B11A0A"/>
    <w:rsid w:val="00B12AB5"/>
    <w:rsid w:val="00B15B3C"/>
    <w:rsid w:val="00B16747"/>
    <w:rsid w:val="00B220DF"/>
    <w:rsid w:val="00B23324"/>
    <w:rsid w:val="00B2389A"/>
    <w:rsid w:val="00B37DD1"/>
    <w:rsid w:val="00B43299"/>
    <w:rsid w:val="00B45137"/>
    <w:rsid w:val="00B646F8"/>
    <w:rsid w:val="00B714B3"/>
    <w:rsid w:val="00B74488"/>
    <w:rsid w:val="00B84840"/>
    <w:rsid w:val="00B86C4E"/>
    <w:rsid w:val="00B86F4A"/>
    <w:rsid w:val="00B87E93"/>
    <w:rsid w:val="00B95F1E"/>
    <w:rsid w:val="00BA05F7"/>
    <w:rsid w:val="00BB33D4"/>
    <w:rsid w:val="00BC1163"/>
    <w:rsid w:val="00BC29E5"/>
    <w:rsid w:val="00BC329A"/>
    <w:rsid w:val="00BC5FA2"/>
    <w:rsid w:val="00BD638F"/>
    <w:rsid w:val="00BE6A45"/>
    <w:rsid w:val="00BF1D3E"/>
    <w:rsid w:val="00BF7751"/>
    <w:rsid w:val="00C00628"/>
    <w:rsid w:val="00C00666"/>
    <w:rsid w:val="00C057E8"/>
    <w:rsid w:val="00C1029A"/>
    <w:rsid w:val="00C13E2E"/>
    <w:rsid w:val="00C1649C"/>
    <w:rsid w:val="00C31000"/>
    <w:rsid w:val="00C35449"/>
    <w:rsid w:val="00C40D04"/>
    <w:rsid w:val="00C42757"/>
    <w:rsid w:val="00C4785D"/>
    <w:rsid w:val="00C47FE3"/>
    <w:rsid w:val="00C51535"/>
    <w:rsid w:val="00C51AF7"/>
    <w:rsid w:val="00C53676"/>
    <w:rsid w:val="00C60540"/>
    <w:rsid w:val="00C706F7"/>
    <w:rsid w:val="00C76E65"/>
    <w:rsid w:val="00C80384"/>
    <w:rsid w:val="00C80468"/>
    <w:rsid w:val="00C82776"/>
    <w:rsid w:val="00C85112"/>
    <w:rsid w:val="00C85C17"/>
    <w:rsid w:val="00C87718"/>
    <w:rsid w:val="00C93AF9"/>
    <w:rsid w:val="00C94A54"/>
    <w:rsid w:val="00C94B3A"/>
    <w:rsid w:val="00C94B5D"/>
    <w:rsid w:val="00C9571E"/>
    <w:rsid w:val="00C967FE"/>
    <w:rsid w:val="00CA1A9B"/>
    <w:rsid w:val="00CA5781"/>
    <w:rsid w:val="00CA5914"/>
    <w:rsid w:val="00CB3DBE"/>
    <w:rsid w:val="00CC52FA"/>
    <w:rsid w:val="00CD142C"/>
    <w:rsid w:val="00CD41E4"/>
    <w:rsid w:val="00CD5623"/>
    <w:rsid w:val="00CD6175"/>
    <w:rsid w:val="00CE00D2"/>
    <w:rsid w:val="00CE35CA"/>
    <w:rsid w:val="00CF1B3C"/>
    <w:rsid w:val="00CF70FC"/>
    <w:rsid w:val="00D0231A"/>
    <w:rsid w:val="00D07533"/>
    <w:rsid w:val="00D10487"/>
    <w:rsid w:val="00D13741"/>
    <w:rsid w:val="00D32A6C"/>
    <w:rsid w:val="00D33ED9"/>
    <w:rsid w:val="00D44DD3"/>
    <w:rsid w:val="00D50E3B"/>
    <w:rsid w:val="00D61FEA"/>
    <w:rsid w:val="00D640BA"/>
    <w:rsid w:val="00D648B7"/>
    <w:rsid w:val="00D6692C"/>
    <w:rsid w:val="00D75C30"/>
    <w:rsid w:val="00D8234D"/>
    <w:rsid w:val="00D82A7B"/>
    <w:rsid w:val="00D94D4F"/>
    <w:rsid w:val="00DA17A6"/>
    <w:rsid w:val="00DA2007"/>
    <w:rsid w:val="00DC0C81"/>
    <w:rsid w:val="00DC0E91"/>
    <w:rsid w:val="00DC3322"/>
    <w:rsid w:val="00DC3348"/>
    <w:rsid w:val="00DC66E6"/>
    <w:rsid w:val="00DD2ADE"/>
    <w:rsid w:val="00DD308A"/>
    <w:rsid w:val="00DD3937"/>
    <w:rsid w:val="00DD4EDB"/>
    <w:rsid w:val="00DD53D7"/>
    <w:rsid w:val="00DE18A1"/>
    <w:rsid w:val="00DE473D"/>
    <w:rsid w:val="00DE6C8A"/>
    <w:rsid w:val="00DF2999"/>
    <w:rsid w:val="00E00D24"/>
    <w:rsid w:val="00E0119E"/>
    <w:rsid w:val="00E0163E"/>
    <w:rsid w:val="00E01BB1"/>
    <w:rsid w:val="00E030B7"/>
    <w:rsid w:val="00E059EE"/>
    <w:rsid w:val="00E10E45"/>
    <w:rsid w:val="00E12FA5"/>
    <w:rsid w:val="00E14E81"/>
    <w:rsid w:val="00E20DED"/>
    <w:rsid w:val="00E21ED7"/>
    <w:rsid w:val="00E241E9"/>
    <w:rsid w:val="00E24661"/>
    <w:rsid w:val="00E4061D"/>
    <w:rsid w:val="00E41B5F"/>
    <w:rsid w:val="00E44DFE"/>
    <w:rsid w:val="00E565AD"/>
    <w:rsid w:val="00E56688"/>
    <w:rsid w:val="00E6051B"/>
    <w:rsid w:val="00E61BF3"/>
    <w:rsid w:val="00E710A9"/>
    <w:rsid w:val="00E767E1"/>
    <w:rsid w:val="00E82E82"/>
    <w:rsid w:val="00E85B2B"/>
    <w:rsid w:val="00E866E7"/>
    <w:rsid w:val="00E87CC2"/>
    <w:rsid w:val="00E92541"/>
    <w:rsid w:val="00E930A2"/>
    <w:rsid w:val="00EA05F6"/>
    <w:rsid w:val="00EA4ED8"/>
    <w:rsid w:val="00EA66B5"/>
    <w:rsid w:val="00EB2A16"/>
    <w:rsid w:val="00EB349E"/>
    <w:rsid w:val="00EB46D6"/>
    <w:rsid w:val="00EC0BB3"/>
    <w:rsid w:val="00EC498E"/>
    <w:rsid w:val="00ED0D0A"/>
    <w:rsid w:val="00ED7482"/>
    <w:rsid w:val="00EF1712"/>
    <w:rsid w:val="00EF421F"/>
    <w:rsid w:val="00EF4371"/>
    <w:rsid w:val="00F0153C"/>
    <w:rsid w:val="00F035B0"/>
    <w:rsid w:val="00F06A6F"/>
    <w:rsid w:val="00F100C3"/>
    <w:rsid w:val="00F10496"/>
    <w:rsid w:val="00F126D4"/>
    <w:rsid w:val="00F15BFC"/>
    <w:rsid w:val="00F2189E"/>
    <w:rsid w:val="00F332D7"/>
    <w:rsid w:val="00F33A7A"/>
    <w:rsid w:val="00F36628"/>
    <w:rsid w:val="00F40946"/>
    <w:rsid w:val="00F5210B"/>
    <w:rsid w:val="00F5582D"/>
    <w:rsid w:val="00F61981"/>
    <w:rsid w:val="00F70FD0"/>
    <w:rsid w:val="00F736AE"/>
    <w:rsid w:val="00F755E3"/>
    <w:rsid w:val="00F837E2"/>
    <w:rsid w:val="00F900EC"/>
    <w:rsid w:val="00FA64B4"/>
    <w:rsid w:val="00FB7418"/>
    <w:rsid w:val="00FB7EA4"/>
    <w:rsid w:val="00FC1518"/>
    <w:rsid w:val="00FC735A"/>
    <w:rsid w:val="00FC7A31"/>
    <w:rsid w:val="00FD2134"/>
    <w:rsid w:val="00FE1443"/>
    <w:rsid w:val="00FE24D8"/>
    <w:rsid w:val="00FE6CDD"/>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D725F"/>
  <w15:docId w15:val="{BBD5FAAF-6F65-4F3D-9125-12E2C27E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7E8"/>
    <w:pPr>
      <w:widowControl w:val="0"/>
      <w:autoSpaceDE w:val="0"/>
      <w:autoSpaceDN w:val="0"/>
      <w:spacing w:after="0" w:line="240" w:lineRule="auto"/>
    </w:pPr>
    <w:rPr>
      <w:rFonts w:ascii="Arial MT" w:eastAsia="Arial MT" w:hAnsi="Arial MT" w:cs="Arial MT"/>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9DA"/>
    <w:pPr>
      <w:tabs>
        <w:tab w:val="center" w:pos="4419"/>
        <w:tab w:val="right" w:pos="8838"/>
      </w:tabs>
    </w:pPr>
  </w:style>
  <w:style w:type="character" w:customStyle="1" w:styleId="EncabezadoCar">
    <w:name w:val="Encabezado Car"/>
    <w:basedOn w:val="Fuentedeprrafopredeter"/>
    <w:link w:val="Encabezado"/>
    <w:uiPriority w:val="99"/>
    <w:rsid w:val="004E09DA"/>
  </w:style>
  <w:style w:type="paragraph" w:styleId="Piedepgina">
    <w:name w:val="footer"/>
    <w:basedOn w:val="Normal"/>
    <w:link w:val="PiedepginaCar"/>
    <w:uiPriority w:val="99"/>
    <w:unhideWhenUsed/>
    <w:rsid w:val="004E09DA"/>
    <w:pPr>
      <w:tabs>
        <w:tab w:val="center" w:pos="4419"/>
        <w:tab w:val="right" w:pos="8838"/>
      </w:tabs>
    </w:pPr>
  </w:style>
  <w:style w:type="character" w:customStyle="1" w:styleId="PiedepginaCar">
    <w:name w:val="Pie de página Car"/>
    <w:basedOn w:val="Fuentedeprrafopredeter"/>
    <w:link w:val="Piedepgina"/>
    <w:uiPriority w:val="99"/>
    <w:rsid w:val="004E09DA"/>
  </w:style>
  <w:style w:type="character" w:styleId="Nmerodepgina">
    <w:name w:val="page number"/>
    <w:basedOn w:val="Fuentedeprrafopredeter"/>
    <w:rsid w:val="00A90795"/>
  </w:style>
  <w:style w:type="paragraph" w:styleId="Textoindependiente">
    <w:name w:val="Body Text"/>
    <w:aliases w:val="body text"/>
    <w:basedOn w:val="Normal"/>
    <w:link w:val="TextoindependienteCar"/>
    <w:rsid w:val="00BD5FA4"/>
    <w:pPr>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aliases w:val="body text Car"/>
    <w:basedOn w:val="Fuentedeprrafopredeter"/>
    <w:link w:val="Textoindependiente"/>
    <w:rsid w:val="00BD5FA4"/>
    <w:rPr>
      <w:rFonts w:ascii="Times New Roman" w:eastAsia="Times New Roman" w:hAnsi="Times New Roman" w:cs="Times New Roman"/>
      <w:kern w:val="0"/>
      <w:sz w:val="20"/>
      <w:szCs w:val="20"/>
      <w:lang w:val="es-ES_tradnl" w:eastAsia="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1"/>
    <w:qFormat/>
    <w:rsid w:val="00BD5FA4"/>
    <w:pPr>
      <w:overflowPunct w:val="0"/>
      <w:adjustRightInd w:val="0"/>
      <w:jc w:val="both"/>
    </w:pPr>
    <w:rPr>
      <w:rFonts w:ascii="Times New Roman" w:eastAsia="SimSun" w:hAnsi="Times New Roman" w:cs="Times New Roman"/>
      <w:kern w:val="28"/>
      <w:szCs w:val="20"/>
      <w:lang w:eastAsia="es-ES"/>
    </w:rPr>
  </w:style>
  <w:style w:type="character" w:customStyle="1" w:styleId="TextonotapieCar">
    <w:name w:val="Texto nota pie Car"/>
    <w:basedOn w:val="Fuentedeprrafopredeter"/>
    <w:uiPriority w:val="99"/>
    <w:semiHidden/>
    <w:rsid w:val="00BD5FA4"/>
    <w:rPr>
      <w:sz w:val="20"/>
      <w:szCs w:val="20"/>
    </w:rPr>
  </w:style>
  <w:style w:type="character" w:styleId="Refdenotaalpie">
    <w:name w:val="footnote reference"/>
    <w:aliases w:val="referencia nota al pie,Texto de nota al pie,Nota de pie,Texto nota al pie,Appel note de bas de page,Footnote symbol,Footnote,BVI fnr,Ref. de nota al pie2,Ref,de nota al pie,Fußnotenzeichen DISS,16 Point,Superscript 6 Point,ftref,FC,F"/>
    <w:uiPriority w:val="99"/>
    <w:qFormat/>
    <w:rsid w:val="00BD5FA4"/>
    <w:rPr>
      <w:vertAlign w:val="superscript"/>
    </w:rPr>
  </w:style>
  <w:style w:type="paragraph" w:styleId="Prrafodelista">
    <w:name w:val="List Paragraph"/>
    <w:aliases w:val="Bullets,Bullet List,Bulletr List Paragraph,FooterText,List Paragraph1,List Paragraph2,List Paragraph21,Listeafsnit1,Paragraphe de liste1,Parágrafo da Lista1,numbered,列出段落,列出段落1,titulo 3,List Paragraph,Ha,Segundo nivel de viñetas,lp1,HOJ"/>
    <w:basedOn w:val="Normal"/>
    <w:link w:val="PrrafodelistaCar"/>
    <w:uiPriority w:val="34"/>
    <w:qFormat/>
    <w:rsid w:val="00BD5FA4"/>
    <w:pPr>
      <w:ind w:left="720"/>
      <w:contextualSpacing/>
    </w:pPr>
    <w:rPr>
      <w:rFonts w:ascii="Arial" w:eastAsia="Times New Roman" w:hAnsi="Arial" w:cs="Times New Roman"/>
      <w:sz w:val="24"/>
      <w:szCs w:val="20"/>
      <w:lang w:eastAsia="es-ES"/>
    </w:rPr>
  </w:style>
  <w:style w:type="paragraph" w:customStyle="1" w:styleId="Default">
    <w:name w:val="Default"/>
    <w:rsid w:val="00BD5FA4"/>
    <w:pPr>
      <w:autoSpaceDE w:val="0"/>
      <w:autoSpaceDN w:val="0"/>
      <w:adjustRightInd w:val="0"/>
      <w:spacing w:after="0" w:line="240" w:lineRule="auto"/>
    </w:pPr>
    <w:rPr>
      <w:rFonts w:ascii="Arial" w:eastAsia="Times New Roman" w:hAnsi="Arial" w:cs="Arial"/>
      <w:color w:val="000000"/>
      <w:kern w:val="0"/>
      <w:sz w:val="24"/>
      <w:szCs w:val="24"/>
      <w:lang w:val="es-ES" w:eastAsia="es-ES"/>
      <w14:ligatures w14:val="none"/>
    </w:rPr>
  </w:style>
  <w:style w:type="paragraph" w:styleId="Textocomentario">
    <w:name w:val="annotation text"/>
    <w:basedOn w:val="Normal"/>
    <w:link w:val="TextocomentarioCar"/>
    <w:rsid w:val="00BD5FA4"/>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rsid w:val="00BD5FA4"/>
    <w:rPr>
      <w:rFonts w:ascii="Times New Roman" w:eastAsia="Times New Roman" w:hAnsi="Times New Roman" w:cs="Times New Roman"/>
      <w:kern w:val="0"/>
      <w:sz w:val="20"/>
      <w:szCs w:val="20"/>
      <w:lang w:val="es-ES_tradnl" w:eastAsia="es-ES"/>
      <w14:ligatures w14:val="none"/>
    </w:rPr>
  </w:style>
  <w:style w:type="paragraph" w:styleId="Sinespaciado">
    <w:name w:val="No Spacing"/>
    <w:uiPriority w:val="1"/>
    <w:qFormat/>
    <w:rsid w:val="00BD5FA4"/>
    <w:pPr>
      <w:suppressAutoHyphens/>
      <w:autoSpaceDN w:val="0"/>
      <w:spacing w:after="0" w:line="240" w:lineRule="auto"/>
      <w:textAlignment w:val="baseline"/>
    </w:pPr>
    <w:rPr>
      <w:rFonts w:ascii="Times New Roman" w:eastAsia="Calibri" w:hAnsi="Times New Roman" w:cs="Times New Roman"/>
      <w:kern w:val="0"/>
      <w:sz w:val="24"/>
      <w:szCs w:val="24"/>
      <w:lang w:eastAsia="es-ES"/>
      <w14:ligatures w14:val="none"/>
    </w:rPr>
  </w:style>
  <w:style w:type="character" w:customStyle="1" w:styleId="PrrafodelistaCar">
    <w:name w:val="Párrafo de lista Car"/>
    <w:aliases w:val="Bullets Car,Bullet List Car,Bulletr List Paragraph Car,FooterText Car,List Paragraph1 Car,List Paragraph2 Car,List Paragraph21 Car,Listeafsnit1 Car,Paragraphe de liste1 Car,Parágrafo da Lista1 Car,numbered Car,列出段落 Car,列出段落1 Car"/>
    <w:link w:val="Prrafodelista"/>
    <w:uiPriority w:val="34"/>
    <w:qFormat/>
    <w:rsid w:val="00BD5FA4"/>
    <w:rPr>
      <w:rFonts w:ascii="Arial" w:eastAsia="Times New Roman" w:hAnsi="Arial" w:cs="Times New Roman"/>
      <w:kern w:val="0"/>
      <w:sz w:val="24"/>
      <w:szCs w:val="20"/>
      <w:lang w:val="es-ES" w:eastAsia="es-ES"/>
      <w14:ligatures w14:val="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locked/>
    <w:rsid w:val="00BD5FA4"/>
    <w:rPr>
      <w:rFonts w:ascii="Times New Roman" w:eastAsia="SimSun" w:hAnsi="Times New Roman" w:cs="Times New Roman"/>
      <w:kern w:val="28"/>
      <w:szCs w:val="20"/>
      <w:lang w:val="es-ES" w:eastAsia="es-ES"/>
      <w14:ligatures w14:val="none"/>
    </w:rPr>
  </w:style>
  <w:style w:type="character" w:customStyle="1" w:styleId="ui-provider">
    <w:name w:val="ui-provider"/>
    <w:basedOn w:val="Fuentedeprrafopredeter"/>
    <w:rsid w:val="00BD5FA4"/>
  </w:style>
  <w:style w:type="paragraph" w:customStyle="1" w:styleId="Standard">
    <w:name w:val="Standard"/>
    <w:uiPriority w:val="99"/>
    <w:rsid w:val="009A7E0A"/>
    <w:pPr>
      <w:widowControl w:val="0"/>
      <w:suppressAutoHyphens/>
      <w:autoSpaceDN w:val="0"/>
      <w:spacing w:after="0" w:line="240" w:lineRule="auto"/>
      <w:textAlignment w:val="baseline"/>
    </w:pPr>
    <w:rPr>
      <w:rFonts w:ascii="Arial" w:eastAsia="Droid Sans Fallback" w:hAnsi="Arial" w:cs="Arial"/>
      <w:kern w:val="3"/>
      <w:lang w:val="es-ES" w:eastAsia="zh-CN"/>
      <w14:ligatures w14:val="none"/>
    </w:rPr>
  </w:style>
  <w:style w:type="paragraph" w:styleId="NormalWeb">
    <w:name w:val="Normal (Web)"/>
    <w:basedOn w:val="Normal"/>
    <w:uiPriority w:val="99"/>
    <w:rsid w:val="00AE58D6"/>
    <w:pPr>
      <w:spacing w:before="100" w:beforeAutospacing="1" w:after="100" w:afterAutospacing="1"/>
    </w:pPr>
    <w:rPr>
      <w:rFonts w:ascii="Arial Unicode MS" w:eastAsia="Arial Unicode MS" w:hAnsi="Arial Unicode MS" w:cs="Arial Unicode MS"/>
      <w:sz w:val="24"/>
      <w:szCs w:val="24"/>
      <w:lang w:eastAsia="es-ES"/>
    </w:rPr>
  </w:style>
  <w:style w:type="paragraph" w:styleId="Ttulo">
    <w:name w:val="Title"/>
    <w:aliases w:val="Puesto"/>
    <w:basedOn w:val="Normal"/>
    <w:link w:val="TtuloCar"/>
    <w:uiPriority w:val="10"/>
    <w:qFormat/>
    <w:rsid w:val="00530AF3"/>
    <w:pPr>
      <w:jc w:val="center"/>
    </w:pPr>
    <w:rPr>
      <w:rFonts w:ascii="Arial" w:eastAsia="Times New Roman" w:hAnsi="Arial" w:cs="Times New Roman"/>
      <w:b/>
      <w:sz w:val="24"/>
      <w:szCs w:val="20"/>
      <w:lang w:eastAsia="es-ES"/>
    </w:rPr>
  </w:style>
  <w:style w:type="character" w:customStyle="1" w:styleId="TtuloCar">
    <w:name w:val="Título Car"/>
    <w:aliases w:val="Puesto Car"/>
    <w:basedOn w:val="Fuentedeprrafopredeter"/>
    <w:link w:val="Ttulo"/>
    <w:uiPriority w:val="10"/>
    <w:rsid w:val="00530AF3"/>
    <w:rPr>
      <w:rFonts w:ascii="Arial" w:eastAsia="Times New Roman" w:hAnsi="Arial" w:cs="Times New Roman"/>
      <w:b/>
      <w:kern w:val="0"/>
      <w:sz w:val="24"/>
      <w:szCs w:val="20"/>
      <w:lang w:val="es-ES" w:eastAsia="es-ES"/>
    </w:rPr>
  </w:style>
  <w:style w:type="paragraph" w:styleId="Revisin">
    <w:name w:val="Revision"/>
    <w:hidden/>
    <w:uiPriority w:val="99"/>
    <w:semiHidden/>
    <w:rsid w:val="00EC498E"/>
    <w:pPr>
      <w:spacing w:after="0" w:line="240" w:lineRule="auto"/>
    </w:pPr>
  </w:style>
  <w:style w:type="character" w:customStyle="1" w:styleId="Sangra2detindependienteCar">
    <w:name w:val="Sangría 2 de t. independiente Car"/>
    <w:basedOn w:val="Fuentedeprrafopredeter"/>
    <w:rsid w:val="00BC5FA2"/>
    <w:rPr>
      <w:rFonts w:ascii="Verdana" w:hAnsi="Verdana"/>
      <w:sz w:val="24"/>
      <w:lang w:val="es-ES_tradnl" w:eastAsia="es-ES"/>
    </w:rPr>
  </w:style>
  <w:style w:type="table" w:styleId="Tablaconcuadrcula">
    <w:name w:val="Table Grid"/>
    <w:basedOn w:val="Tablanormal"/>
    <w:uiPriority w:val="39"/>
    <w:rsid w:val="00D8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52BE7"/>
    <w:rPr>
      <w:sz w:val="16"/>
      <w:szCs w:val="16"/>
    </w:rPr>
  </w:style>
  <w:style w:type="paragraph" w:styleId="Asuntodelcomentario">
    <w:name w:val="annotation subject"/>
    <w:basedOn w:val="Textocomentario"/>
    <w:next w:val="Textocomentario"/>
    <w:link w:val="AsuntodelcomentarioCar"/>
    <w:uiPriority w:val="99"/>
    <w:semiHidden/>
    <w:unhideWhenUsed/>
    <w:rsid w:val="00252BE7"/>
    <w:pPr>
      <w:spacing w:after="160"/>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
    <w:link w:val="Asuntodelcomentario"/>
    <w:uiPriority w:val="99"/>
    <w:semiHidden/>
    <w:rsid w:val="00252BE7"/>
    <w:rPr>
      <w:rFonts w:ascii="Times New Roman" w:eastAsia="Times New Roman" w:hAnsi="Times New Roman" w:cs="Times New Roman"/>
      <w:b/>
      <w:bCs/>
      <w:kern w:val="0"/>
      <w:sz w:val="20"/>
      <w:szCs w:val="20"/>
      <w:lang w:val="es-ES_tradnl" w:eastAsia="es-ES"/>
      <w14:ligatures w14:val="none"/>
    </w:rPr>
  </w:style>
  <w:style w:type="character" w:styleId="nfasis">
    <w:name w:val="Emphasis"/>
    <w:basedOn w:val="Fuentedeprrafopredeter"/>
    <w:uiPriority w:val="20"/>
    <w:qFormat/>
    <w:rsid w:val="00C60540"/>
    <w:rPr>
      <w:i/>
      <w:iCs/>
    </w:rPr>
  </w:style>
  <w:style w:type="paragraph" w:customStyle="1" w:styleId="xmsonormal">
    <w:name w:val="x_msonormal"/>
    <w:basedOn w:val="Normal"/>
    <w:rsid w:val="00C6054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xui-provider">
    <w:name w:val="x_ui-provider"/>
    <w:basedOn w:val="Fuentedeprrafopredeter"/>
    <w:rsid w:val="00C60540"/>
  </w:style>
  <w:style w:type="paragraph" w:customStyle="1" w:styleId="Textoindependiente311">
    <w:name w:val="Texto independiente 311"/>
    <w:basedOn w:val="Normal"/>
    <w:uiPriority w:val="99"/>
    <w:rsid w:val="000E6D56"/>
    <w:pPr>
      <w:widowControl/>
      <w:autoSpaceDE/>
      <w:autoSpaceDN/>
      <w:jc w:val="both"/>
    </w:pPr>
    <w:rPr>
      <w:rFonts w:ascii="Arial" w:eastAsia="Times New Roman" w:hAnsi="Arial" w:cs="Times New Roman"/>
      <w:sz w:val="24"/>
      <w:szCs w:val="20"/>
      <w:lang w:val="es-ES_tradnl" w:eastAsia="es-ES"/>
    </w:rPr>
  </w:style>
  <w:style w:type="character" w:styleId="Hipervnculo">
    <w:name w:val="Hyperlink"/>
    <w:basedOn w:val="Fuentedeprrafopredeter"/>
    <w:uiPriority w:val="99"/>
    <w:rsid w:val="00370880"/>
    <w:rPr>
      <w:color w:val="0563C1"/>
      <w:u w:val="single"/>
    </w:rPr>
  </w:style>
  <w:style w:type="paragraph" w:customStyle="1" w:styleId="paragraph">
    <w:name w:val="paragraph"/>
    <w:basedOn w:val="Normal"/>
    <w:rsid w:val="0037088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370880"/>
  </w:style>
  <w:style w:type="character" w:customStyle="1" w:styleId="normaltextrun">
    <w:name w:val="normaltextrun"/>
    <w:basedOn w:val="Fuentedeprrafopredeter"/>
    <w:rsid w:val="0037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43">
      <w:bodyDiv w:val="1"/>
      <w:marLeft w:val="0"/>
      <w:marRight w:val="0"/>
      <w:marTop w:val="0"/>
      <w:marBottom w:val="0"/>
      <w:divBdr>
        <w:top w:val="none" w:sz="0" w:space="0" w:color="auto"/>
        <w:left w:val="none" w:sz="0" w:space="0" w:color="auto"/>
        <w:bottom w:val="none" w:sz="0" w:space="0" w:color="auto"/>
        <w:right w:val="none" w:sz="0" w:space="0" w:color="auto"/>
      </w:divBdr>
    </w:div>
    <w:div w:id="54815445">
      <w:bodyDiv w:val="1"/>
      <w:marLeft w:val="0"/>
      <w:marRight w:val="0"/>
      <w:marTop w:val="0"/>
      <w:marBottom w:val="0"/>
      <w:divBdr>
        <w:top w:val="none" w:sz="0" w:space="0" w:color="auto"/>
        <w:left w:val="none" w:sz="0" w:space="0" w:color="auto"/>
        <w:bottom w:val="none" w:sz="0" w:space="0" w:color="auto"/>
        <w:right w:val="none" w:sz="0" w:space="0" w:color="auto"/>
      </w:divBdr>
    </w:div>
    <w:div w:id="81411764">
      <w:bodyDiv w:val="1"/>
      <w:marLeft w:val="0"/>
      <w:marRight w:val="0"/>
      <w:marTop w:val="0"/>
      <w:marBottom w:val="0"/>
      <w:divBdr>
        <w:top w:val="none" w:sz="0" w:space="0" w:color="auto"/>
        <w:left w:val="none" w:sz="0" w:space="0" w:color="auto"/>
        <w:bottom w:val="none" w:sz="0" w:space="0" w:color="auto"/>
        <w:right w:val="none" w:sz="0" w:space="0" w:color="auto"/>
      </w:divBdr>
    </w:div>
    <w:div w:id="111558070">
      <w:bodyDiv w:val="1"/>
      <w:marLeft w:val="0"/>
      <w:marRight w:val="0"/>
      <w:marTop w:val="0"/>
      <w:marBottom w:val="0"/>
      <w:divBdr>
        <w:top w:val="none" w:sz="0" w:space="0" w:color="auto"/>
        <w:left w:val="none" w:sz="0" w:space="0" w:color="auto"/>
        <w:bottom w:val="none" w:sz="0" w:space="0" w:color="auto"/>
        <w:right w:val="none" w:sz="0" w:space="0" w:color="auto"/>
      </w:divBdr>
    </w:div>
    <w:div w:id="112870899">
      <w:bodyDiv w:val="1"/>
      <w:marLeft w:val="0"/>
      <w:marRight w:val="0"/>
      <w:marTop w:val="0"/>
      <w:marBottom w:val="0"/>
      <w:divBdr>
        <w:top w:val="none" w:sz="0" w:space="0" w:color="auto"/>
        <w:left w:val="none" w:sz="0" w:space="0" w:color="auto"/>
        <w:bottom w:val="none" w:sz="0" w:space="0" w:color="auto"/>
        <w:right w:val="none" w:sz="0" w:space="0" w:color="auto"/>
      </w:divBdr>
    </w:div>
    <w:div w:id="159346991">
      <w:bodyDiv w:val="1"/>
      <w:marLeft w:val="0"/>
      <w:marRight w:val="0"/>
      <w:marTop w:val="0"/>
      <w:marBottom w:val="0"/>
      <w:divBdr>
        <w:top w:val="none" w:sz="0" w:space="0" w:color="auto"/>
        <w:left w:val="none" w:sz="0" w:space="0" w:color="auto"/>
        <w:bottom w:val="none" w:sz="0" w:space="0" w:color="auto"/>
        <w:right w:val="none" w:sz="0" w:space="0" w:color="auto"/>
      </w:divBdr>
    </w:div>
    <w:div w:id="195243055">
      <w:bodyDiv w:val="1"/>
      <w:marLeft w:val="0"/>
      <w:marRight w:val="0"/>
      <w:marTop w:val="0"/>
      <w:marBottom w:val="0"/>
      <w:divBdr>
        <w:top w:val="none" w:sz="0" w:space="0" w:color="auto"/>
        <w:left w:val="none" w:sz="0" w:space="0" w:color="auto"/>
        <w:bottom w:val="none" w:sz="0" w:space="0" w:color="auto"/>
        <w:right w:val="none" w:sz="0" w:space="0" w:color="auto"/>
      </w:divBdr>
    </w:div>
    <w:div w:id="233589207">
      <w:bodyDiv w:val="1"/>
      <w:marLeft w:val="0"/>
      <w:marRight w:val="0"/>
      <w:marTop w:val="0"/>
      <w:marBottom w:val="0"/>
      <w:divBdr>
        <w:top w:val="none" w:sz="0" w:space="0" w:color="auto"/>
        <w:left w:val="none" w:sz="0" w:space="0" w:color="auto"/>
        <w:bottom w:val="none" w:sz="0" w:space="0" w:color="auto"/>
        <w:right w:val="none" w:sz="0" w:space="0" w:color="auto"/>
      </w:divBdr>
    </w:div>
    <w:div w:id="254096758">
      <w:bodyDiv w:val="1"/>
      <w:marLeft w:val="0"/>
      <w:marRight w:val="0"/>
      <w:marTop w:val="0"/>
      <w:marBottom w:val="0"/>
      <w:divBdr>
        <w:top w:val="none" w:sz="0" w:space="0" w:color="auto"/>
        <w:left w:val="none" w:sz="0" w:space="0" w:color="auto"/>
        <w:bottom w:val="none" w:sz="0" w:space="0" w:color="auto"/>
        <w:right w:val="none" w:sz="0" w:space="0" w:color="auto"/>
      </w:divBdr>
    </w:div>
    <w:div w:id="369912961">
      <w:bodyDiv w:val="1"/>
      <w:marLeft w:val="0"/>
      <w:marRight w:val="0"/>
      <w:marTop w:val="0"/>
      <w:marBottom w:val="0"/>
      <w:divBdr>
        <w:top w:val="none" w:sz="0" w:space="0" w:color="auto"/>
        <w:left w:val="none" w:sz="0" w:space="0" w:color="auto"/>
        <w:bottom w:val="none" w:sz="0" w:space="0" w:color="auto"/>
        <w:right w:val="none" w:sz="0" w:space="0" w:color="auto"/>
      </w:divBdr>
    </w:div>
    <w:div w:id="404258496">
      <w:bodyDiv w:val="1"/>
      <w:marLeft w:val="0"/>
      <w:marRight w:val="0"/>
      <w:marTop w:val="0"/>
      <w:marBottom w:val="0"/>
      <w:divBdr>
        <w:top w:val="none" w:sz="0" w:space="0" w:color="auto"/>
        <w:left w:val="none" w:sz="0" w:space="0" w:color="auto"/>
        <w:bottom w:val="none" w:sz="0" w:space="0" w:color="auto"/>
        <w:right w:val="none" w:sz="0" w:space="0" w:color="auto"/>
      </w:divBdr>
    </w:div>
    <w:div w:id="411391451">
      <w:bodyDiv w:val="1"/>
      <w:marLeft w:val="0"/>
      <w:marRight w:val="0"/>
      <w:marTop w:val="0"/>
      <w:marBottom w:val="0"/>
      <w:divBdr>
        <w:top w:val="none" w:sz="0" w:space="0" w:color="auto"/>
        <w:left w:val="none" w:sz="0" w:space="0" w:color="auto"/>
        <w:bottom w:val="none" w:sz="0" w:space="0" w:color="auto"/>
        <w:right w:val="none" w:sz="0" w:space="0" w:color="auto"/>
      </w:divBdr>
    </w:div>
    <w:div w:id="416632586">
      <w:bodyDiv w:val="1"/>
      <w:marLeft w:val="0"/>
      <w:marRight w:val="0"/>
      <w:marTop w:val="0"/>
      <w:marBottom w:val="0"/>
      <w:divBdr>
        <w:top w:val="none" w:sz="0" w:space="0" w:color="auto"/>
        <w:left w:val="none" w:sz="0" w:space="0" w:color="auto"/>
        <w:bottom w:val="none" w:sz="0" w:space="0" w:color="auto"/>
        <w:right w:val="none" w:sz="0" w:space="0" w:color="auto"/>
      </w:divBdr>
    </w:div>
    <w:div w:id="422919665">
      <w:bodyDiv w:val="1"/>
      <w:marLeft w:val="0"/>
      <w:marRight w:val="0"/>
      <w:marTop w:val="0"/>
      <w:marBottom w:val="0"/>
      <w:divBdr>
        <w:top w:val="none" w:sz="0" w:space="0" w:color="auto"/>
        <w:left w:val="none" w:sz="0" w:space="0" w:color="auto"/>
        <w:bottom w:val="none" w:sz="0" w:space="0" w:color="auto"/>
        <w:right w:val="none" w:sz="0" w:space="0" w:color="auto"/>
      </w:divBdr>
    </w:div>
    <w:div w:id="504050109">
      <w:bodyDiv w:val="1"/>
      <w:marLeft w:val="0"/>
      <w:marRight w:val="0"/>
      <w:marTop w:val="0"/>
      <w:marBottom w:val="0"/>
      <w:divBdr>
        <w:top w:val="none" w:sz="0" w:space="0" w:color="auto"/>
        <w:left w:val="none" w:sz="0" w:space="0" w:color="auto"/>
        <w:bottom w:val="none" w:sz="0" w:space="0" w:color="auto"/>
        <w:right w:val="none" w:sz="0" w:space="0" w:color="auto"/>
      </w:divBdr>
    </w:div>
    <w:div w:id="510947878">
      <w:bodyDiv w:val="1"/>
      <w:marLeft w:val="0"/>
      <w:marRight w:val="0"/>
      <w:marTop w:val="0"/>
      <w:marBottom w:val="0"/>
      <w:divBdr>
        <w:top w:val="none" w:sz="0" w:space="0" w:color="auto"/>
        <w:left w:val="none" w:sz="0" w:space="0" w:color="auto"/>
        <w:bottom w:val="none" w:sz="0" w:space="0" w:color="auto"/>
        <w:right w:val="none" w:sz="0" w:space="0" w:color="auto"/>
      </w:divBdr>
    </w:div>
    <w:div w:id="724916607">
      <w:bodyDiv w:val="1"/>
      <w:marLeft w:val="0"/>
      <w:marRight w:val="0"/>
      <w:marTop w:val="0"/>
      <w:marBottom w:val="0"/>
      <w:divBdr>
        <w:top w:val="none" w:sz="0" w:space="0" w:color="auto"/>
        <w:left w:val="none" w:sz="0" w:space="0" w:color="auto"/>
        <w:bottom w:val="none" w:sz="0" w:space="0" w:color="auto"/>
        <w:right w:val="none" w:sz="0" w:space="0" w:color="auto"/>
      </w:divBdr>
    </w:div>
    <w:div w:id="783155210">
      <w:bodyDiv w:val="1"/>
      <w:marLeft w:val="0"/>
      <w:marRight w:val="0"/>
      <w:marTop w:val="0"/>
      <w:marBottom w:val="0"/>
      <w:divBdr>
        <w:top w:val="none" w:sz="0" w:space="0" w:color="auto"/>
        <w:left w:val="none" w:sz="0" w:space="0" w:color="auto"/>
        <w:bottom w:val="none" w:sz="0" w:space="0" w:color="auto"/>
        <w:right w:val="none" w:sz="0" w:space="0" w:color="auto"/>
      </w:divBdr>
    </w:div>
    <w:div w:id="802389990">
      <w:bodyDiv w:val="1"/>
      <w:marLeft w:val="0"/>
      <w:marRight w:val="0"/>
      <w:marTop w:val="0"/>
      <w:marBottom w:val="0"/>
      <w:divBdr>
        <w:top w:val="none" w:sz="0" w:space="0" w:color="auto"/>
        <w:left w:val="none" w:sz="0" w:space="0" w:color="auto"/>
        <w:bottom w:val="none" w:sz="0" w:space="0" w:color="auto"/>
        <w:right w:val="none" w:sz="0" w:space="0" w:color="auto"/>
      </w:divBdr>
    </w:div>
    <w:div w:id="811672456">
      <w:bodyDiv w:val="1"/>
      <w:marLeft w:val="0"/>
      <w:marRight w:val="0"/>
      <w:marTop w:val="0"/>
      <w:marBottom w:val="0"/>
      <w:divBdr>
        <w:top w:val="none" w:sz="0" w:space="0" w:color="auto"/>
        <w:left w:val="none" w:sz="0" w:space="0" w:color="auto"/>
        <w:bottom w:val="none" w:sz="0" w:space="0" w:color="auto"/>
        <w:right w:val="none" w:sz="0" w:space="0" w:color="auto"/>
      </w:divBdr>
    </w:div>
    <w:div w:id="823666592">
      <w:bodyDiv w:val="1"/>
      <w:marLeft w:val="0"/>
      <w:marRight w:val="0"/>
      <w:marTop w:val="0"/>
      <w:marBottom w:val="0"/>
      <w:divBdr>
        <w:top w:val="none" w:sz="0" w:space="0" w:color="auto"/>
        <w:left w:val="none" w:sz="0" w:space="0" w:color="auto"/>
        <w:bottom w:val="none" w:sz="0" w:space="0" w:color="auto"/>
        <w:right w:val="none" w:sz="0" w:space="0" w:color="auto"/>
      </w:divBdr>
    </w:div>
    <w:div w:id="928851012">
      <w:bodyDiv w:val="1"/>
      <w:marLeft w:val="0"/>
      <w:marRight w:val="0"/>
      <w:marTop w:val="0"/>
      <w:marBottom w:val="0"/>
      <w:divBdr>
        <w:top w:val="none" w:sz="0" w:space="0" w:color="auto"/>
        <w:left w:val="none" w:sz="0" w:space="0" w:color="auto"/>
        <w:bottom w:val="none" w:sz="0" w:space="0" w:color="auto"/>
        <w:right w:val="none" w:sz="0" w:space="0" w:color="auto"/>
      </w:divBdr>
    </w:div>
    <w:div w:id="987056242">
      <w:bodyDiv w:val="1"/>
      <w:marLeft w:val="0"/>
      <w:marRight w:val="0"/>
      <w:marTop w:val="0"/>
      <w:marBottom w:val="0"/>
      <w:divBdr>
        <w:top w:val="none" w:sz="0" w:space="0" w:color="auto"/>
        <w:left w:val="none" w:sz="0" w:space="0" w:color="auto"/>
        <w:bottom w:val="none" w:sz="0" w:space="0" w:color="auto"/>
        <w:right w:val="none" w:sz="0" w:space="0" w:color="auto"/>
      </w:divBdr>
    </w:div>
    <w:div w:id="1003818251">
      <w:bodyDiv w:val="1"/>
      <w:marLeft w:val="0"/>
      <w:marRight w:val="0"/>
      <w:marTop w:val="0"/>
      <w:marBottom w:val="0"/>
      <w:divBdr>
        <w:top w:val="none" w:sz="0" w:space="0" w:color="auto"/>
        <w:left w:val="none" w:sz="0" w:space="0" w:color="auto"/>
        <w:bottom w:val="none" w:sz="0" w:space="0" w:color="auto"/>
        <w:right w:val="none" w:sz="0" w:space="0" w:color="auto"/>
      </w:divBdr>
    </w:div>
    <w:div w:id="1024790147">
      <w:bodyDiv w:val="1"/>
      <w:marLeft w:val="0"/>
      <w:marRight w:val="0"/>
      <w:marTop w:val="0"/>
      <w:marBottom w:val="0"/>
      <w:divBdr>
        <w:top w:val="none" w:sz="0" w:space="0" w:color="auto"/>
        <w:left w:val="none" w:sz="0" w:space="0" w:color="auto"/>
        <w:bottom w:val="none" w:sz="0" w:space="0" w:color="auto"/>
        <w:right w:val="none" w:sz="0" w:space="0" w:color="auto"/>
      </w:divBdr>
    </w:div>
    <w:div w:id="1185435933">
      <w:bodyDiv w:val="1"/>
      <w:marLeft w:val="0"/>
      <w:marRight w:val="0"/>
      <w:marTop w:val="0"/>
      <w:marBottom w:val="0"/>
      <w:divBdr>
        <w:top w:val="none" w:sz="0" w:space="0" w:color="auto"/>
        <w:left w:val="none" w:sz="0" w:space="0" w:color="auto"/>
        <w:bottom w:val="none" w:sz="0" w:space="0" w:color="auto"/>
        <w:right w:val="none" w:sz="0" w:space="0" w:color="auto"/>
      </w:divBdr>
    </w:div>
    <w:div w:id="1211377694">
      <w:bodyDiv w:val="1"/>
      <w:marLeft w:val="0"/>
      <w:marRight w:val="0"/>
      <w:marTop w:val="0"/>
      <w:marBottom w:val="0"/>
      <w:divBdr>
        <w:top w:val="none" w:sz="0" w:space="0" w:color="auto"/>
        <w:left w:val="none" w:sz="0" w:space="0" w:color="auto"/>
        <w:bottom w:val="none" w:sz="0" w:space="0" w:color="auto"/>
        <w:right w:val="none" w:sz="0" w:space="0" w:color="auto"/>
      </w:divBdr>
    </w:div>
    <w:div w:id="1219584606">
      <w:bodyDiv w:val="1"/>
      <w:marLeft w:val="0"/>
      <w:marRight w:val="0"/>
      <w:marTop w:val="0"/>
      <w:marBottom w:val="0"/>
      <w:divBdr>
        <w:top w:val="none" w:sz="0" w:space="0" w:color="auto"/>
        <w:left w:val="none" w:sz="0" w:space="0" w:color="auto"/>
        <w:bottom w:val="none" w:sz="0" w:space="0" w:color="auto"/>
        <w:right w:val="none" w:sz="0" w:space="0" w:color="auto"/>
      </w:divBdr>
    </w:div>
    <w:div w:id="1248922204">
      <w:bodyDiv w:val="1"/>
      <w:marLeft w:val="0"/>
      <w:marRight w:val="0"/>
      <w:marTop w:val="0"/>
      <w:marBottom w:val="0"/>
      <w:divBdr>
        <w:top w:val="none" w:sz="0" w:space="0" w:color="auto"/>
        <w:left w:val="none" w:sz="0" w:space="0" w:color="auto"/>
        <w:bottom w:val="none" w:sz="0" w:space="0" w:color="auto"/>
        <w:right w:val="none" w:sz="0" w:space="0" w:color="auto"/>
      </w:divBdr>
    </w:div>
    <w:div w:id="1270551790">
      <w:bodyDiv w:val="1"/>
      <w:marLeft w:val="0"/>
      <w:marRight w:val="0"/>
      <w:marTop w:val="0"/>
      <w:marBottom w:val="0"/>
      <w:divBdr>
        <w:top w:val="none" w:sz="0" w:space="0" w:color="auto"/>
        <w:left w:val="none" w:sz="0" w:space="0" w:color="auto"/>
        <w:bottom w:val="none" w:sz="0" w:space="0" w:color="auto"/>
        <w:right w:val="none" w:sz="0" w:space="0" w:color="auto"/>
      </w:divBdr>
    </w:div>
    <w:div w:id="1303119963">
      <w:bodyDiv w:val="1"/>
      <w:marLeft w:val="0"/>
      <w:marRight w:val="0"/>
      <w:marTop w:val="0"/>
      <w:marBottom w:val="0"/>
      <w:divBdr>
        <w:top w:val="none" w:sz="0" w:space="0" w:color="auto"/>
        <w:left w:val="none" w:sz="0" w:space="0" w:color="auto"/>
        <w:bottom w:val="none" w:sz="0" w:space="0" w:color="auto"/>
        <w:right w:val="none" w:sz="0" w:space="0" w:color="auto"/>
      </w:divBdr>
    </w:div>
    <w:div w:id="1355112867">
      <w:bodyDiv w:val="1"/>
      <w:marLeft w:val="0"/>
      <w:marRight w:val="0"/>
      <w:marTop w:val="0"/>
      <w:marBottom w:val="0"/>
      <w:divBdr>
        <w:top w:val="none" w:sz="0" w:space="0" w:color="auto"/>
        <w:left w:val="none" w:sz="0" w:space="0" w:color="auto"/>
        <w:bottom w:val="none" w:sz="0" w:space="0" w:color="auto"/>
        <w:right w:val="none" w:sz="0" w:space="0" w:color="auto"/>
      </w:divBdr>
    </w:div>
    <w:div w:id="1367481469">
      <w:bodyDiv w:val="1"/>
      <w:marLeft w:val="0"/>
      <w:marRight w:val="0"/>
      <w:marTop w:val="0"/>
      <w:marBottom w:val="0"/>
      <w:divBdr>
        <w:top w:val="none" w:sz="0" w:space="0" w:color="auto"/>
        <w:left w:val="none" w:sz="0" w:space="0" w:color="auto"/>
        <w:bottom w:val="none" w:sz="0" w:space="0" w:color="auto"/>
        <w:right w:val="none" w:sz="0" w:space="0" w:color="auto"/>
      </w:divBdr>
    </w:div>
    <w:div w:id="1372148077">
      <w:bodyDiv w:val="1"/>
      <w:marLeft w:val="0"/>
      <w:marRight w:val="0"/>
      <w:marTop w:val="0"/>
      <w:marBottom w:val="0"/>
      <w:divBdr>
        <w:top w:val="none" w:sz="0" w:space="0" w:color="auto"/>
        <w:left w:val="none" w:sz="0" w:space="0" w:color="auto"/>
        <w:bottom w:val="none" w:sz="0" w:space="0" w:color="auto"/>
        <w:right w:val="none" w:sz="0" w:space="0" w:color="auto"/>
      </w:divBdr>
    </w:div>
    <w:div w:id="1418290446">
      <w:bodyDiv w:val="1"/>
      <w:marLeft w:val="0"/>
      <w:marRight w:val="0"/>
      <w:marTop w:val="0"/>
      <w:marBottom w:val="0"/>
      <w:divBdr>
        <w:top w:val="none" w:sz="0" w:space="0" w:color="auto"/>
        <w:left w:val="none" w:sz="0" w:space="0" w:color="auto"/>
        <w:bottom w:val="none" w:sz="0" w:space="0" w:color="auto"/>
        <w:right w:val="none" w:sz="0" w:space="0" w:color="auto"/>
      </w:divBdr>
    </w:div>
    <w:div w:id="1433625510">
      <w:bodyDiv w:val="1"/>
      <w:marLeft w:val="0"/>
      <w:marRight w:val="0"/>
      <w:marTop w:val="0"/>
      <w:marBottom w:val="0"/>
      <w:divBdr>
        <w:top w:val="none" w:sz="0" w:space="0" w:color="auto"/>
        <w:left w:val="none" w:sz="0" w:space="0" w:color="auto"/>
        <w:bottom w:val="none" w:sz="0" w:space="0" w:color="auto"/>
        <w:right w:val="none" w:sz="0" w:space="0" w:color="auto"/>
      </w:divBdr>
    </w:div>
    <w:div w:id="1455321572">
      <w:bodyDiv w:val="1"/>
      <w:marLeft w:val="0"/>
      <w:marRight w:val="0"/>
      <w:marTop w:val="0"/>
      <w:marBottom w:val="0"/>
      <w:divBdr>
        <w:top w:val="none" w:sz="0" w:space="0" w:color="auto"/>
        <w:left w:val="none" w:sz="0" w:space="0" w:color="auto"/>
        <w:bottom w:val="none" w:sz="0" w:space="0" w:color="auto"/>
        <w:right w:val="none" w:sz="0" w:space="0" w:color="auto"/>
      </w:divBdr>
    </w:div>
    <w:div w:id="1496915734">
      <w:bodyDiv w:val="1"/>
      <w:marLeft w:val="0"/>
      <w:marRight w:val="0"/>
      <w:marTop w:val="0"/>
      <w:marBottom w:val="0"/>
      <w:divBdr>
        <w:top w:val="none" w:sz="0" w:space="0" w:color="auto"/>
        <w:left w:val="none" w:sz="0" w:space="0" w:color="auto"/>
        <w:bottom w:val="none" w:sz="0" w:space="0" w:color="auto"/>
        <w:right w:val="none" w:sz="0" w:space="0" w:color="auto"/>
      </w:divBdr>
    </w:div>
    <w:div w:id="1532767755">
      <w:bodyDiv w:val="1"/>
      <w:marLeft w:val="0"/>
      <w:marRight w:val="0"/>
      <w:marTop w:val="0"/>
      <w:marBottom w:val="0"/>
      <w:divBdr>
        <w:top w:val="none" w:sz="0" w:space="0" w:color="auto"/>
        <w:left w:val="none" w:sz="0" w:space="0" w:color="auto"/>
        <w:bottom w:val="none" w:sz="0" w:space="0" w:color="auto"/>
        <w:right w:val="none" w:sz="0" w:space="0" w:color="auto"/>
      </w:divBdr>
    </w:div>
    <w:div w:id="1564565863">
      <w:bodyDiv w:val="1"/>
      <w:marLeft w:val="0"/>
      <w:marRight w:val="0"/>
      <w:marTop w:val="0"/>
      <w:marBottom w:val="0"/>
      <w:divBdr>
        <w:top w:val="none" w:sz="0" w:space="0" w:color="auto"/>
        <w:left w:val="none" w:sz="0" w:space="0" w:color="auto"/>
        <w:bottom w:val="none" w:sz="0" w:space="0" w:color="auto"/>
        <w:right w:val="none" w:sz="0" w:space="0" w:color="auto"/>
      </w:divBdr>
    </w:div>
    <w:div w:id="1581132070">
      <w:bodyDiv w:val="1"/>
      <w:marLeft w:val="0"/>
      <w:marRight w:val="0"/>
      <w:marTop w:val="0"/>
      <w:marBottom w:val="0"/>
      <w:divBdr>
        <w:top w:val="none" w:sz="0" w:space="0" w:color="auto"/>
        <w:left w:val="none" w:sz="0" w:space="0" w:color="auto"/>
        <w:bottom w:val="none" w:sz="0" w:space="0" w:color="auto"/>
        <w:right w:val="none" w:sz="0" w:space="0" w:color="auto"/>
      </w:divBdr>
    </w:div>
    <w:div w:id="1720084676">
      <w:bodyDiv w:val="1"/>
      <w:marLeft w:val="0"/>
      <w:marRight w:val="0"/>
      <w:marTop w:val="0"/>
      <w:marBottom w:val="0"/>
      <w:divBdr>
        <w:top w:val="none" w:sz="0" w:space="0" w:color="auto"/>
        <w:left w:val="none" w:sz="0" w:space="0" w:color="auto"/>
        <w:bottom w:val="none" w:sz="0" w:space="0" w:color="auto"/>
        <w:right w:val="none" w:sz="0" w:space="0" w:color="auto"/>
      </w:divBdr>
    </w:div>
    <w:div w:id="1727096663">
      <w:bodyDiv w:val="1"/>
      <w:marLeft w:val="0"/>
      <w:marRight w:val="0"/>
      <w:marTop w:val="0"/>
      <w:marBottom w:val="0"/>
      <w:divBdr>
        <w:top w:val="none" w:sz="0" w:space="0" w:color="auto"/>
        <w:left w:val="none" w:sz="0" w:space="0" w:color="auto"/>
        <w:bottom w:val="none" w:sz="0" w:space="0" w:color="auto"/>
        <w:right w:val="none" w:sz="0" w:space="0" w:color="auto"/>
      </w:divBdr>
    </w:div>
    <w:div w:id="1728913863">
      <w:bodyDiv w:val="1"/>
      <w:marLeft w:val="0"/>
      <w:marRight w:val="0"/>
      <w:marTop w:val="0"/>
      <w:marBottom w:val="0"/>
      <w:divBdr>
        <w:top w:val="none" w:sz="0" w:space="0" w:color="auto"/>
        <w:left w:val="none" w:sz="0" w:space="0" w:color="auto"/>
        <w:bottom w:val="none" w:sz="0" w:space="0" w:color="auto"/>
        <w:right w:val="none" w:sz="0" w:space="0" w:color="auto"/>
      </w:divBdr>
    </w:div>
    <w:div w:id="1787429333">
      <w:bodyDiv w:val="1"/>
      <w:marLeft w:val="0"/>
      <w:marRight w:val="0"/>
      <w:marTop w:val="0"/>
      <w:marBottom w:val="0"/>
      <w:divBdr>
        <w:top w:val="none" w:sz="0" w:space="0" w:color="auto"/>
        <w:left w:val="none" w:sz="0" w:space="0" w:color="auto"/>
        <w:bottom w:val="none" w:sz="0" w:space="0" w:color="auto"/>
        <w:right w:val="none" w:sz="0" w:space="0" w:color="auto"/>
      </w:divBdr>
    </w:div>
    <w:div w:id="1837305064">
      <w:bodyDiv w:val="1"/>
      <w:marLeft w:val="0"/>
      <w:marRight w:val="0"/>
      <w:marTop w:val="0"/>
      <w:marBottom w:val="0"/>
      <w:divBdr>
        <w:top w:val="none" w:sz="0" w:space="0" w:color="auto"/>
        <w:left w:val="none" w:sz="0" w:space="0" w:color="auto"/>
        <w:bottom w:val="none" w:sz="0" w:space="0" w:color="auto"/>
        <w:right w:val="none" w:sz="0" w:space="0" w:color="auto"/>
      </w:divBdr>
    </w:div>
    <w:div w:id="1871720574">
      <w:bodyDiv w:val="1"/>
      <w:marLeft w:val="0"/>
      <w:marRight w:val="0"/>
      <w:marTop w:val="0"/>
      <w:marBottom w:val="0"/>
      <w:divBdr>
        <w:top w:val="none" w:sz="0" w:space="0" w:color="auto"/>
        <w:left w:val="none" w:sz="0" w:space="0" w:color="auto"/>
        <w:bottom w:val="none" w:sz="0" w:space="0" w:color="auto"/>
        <w:right w:val="none" w:sz="0" w:space="0" w:color="auto"/>
      </w:divBdr>
    </w:div>
    <w:div w:id="1881937297">
      <w:bodyDiv w:val="1"/>
      <w:marLeft w:val="0"/>
      <w:marRight w:val="0"/>
      <w:marTop w:val="0"/>
      <w:marBottom w:val="0"/>
      <w:divBdr>
        <w:top w:val="none" w:sz="0" w:space="0" w:color="auto"/>
        <w:left w:val="none" w:sz="0" w:space="0" w:color="auto"/>
        <w:bottom w:val="none" w:sz="0" w:space="0" w:color="auto"/>
        <w:right w:val="none" w:sz="0" w:space="0" w:color="auto"/>
      </w:divBdr>
    </w:div>
    <w:div w:id="1905677289">
      <w:bodyDiv w:val="1"/>
      <w:marLeft w:val="0"/>
      <w:marRight w:val="0"/>
      <w:marTop w:val="0"/>
      <w:marBottom w:val="0"/>
      <w:divBdr>
        <w:top w:val="none" w:sz="0" w:space="0" w:color="auto"/>
        <w:left w:val="none" w:sz="0" w:space="0" w:color="auto"/>
        <w:bottom w:val="none" w:sz="0" w:space="0" w:color="auto"/>
        <w:right w:val="none" w:sz="0" w:space="0" w:color="auto"/>
      </w:divBdr>
    </w:div>
    <w:div w:id="1963031371">
      <w:bodyDiv w:val="1"/>
      <w:marLeft w:val="0"/>
      <w:marRight w:val="0"/>
      <w:marTop w:val="0"/>
      <w:marBottom w:val="0"/>
      <w:divBdr>
        <w:top w:val="none" w:sz="0" w:space="0" w:color="auto"/>
        <w:left w:val="none" w:sz="0" w:space="0" w:color="auto"/>
        <w:bottom w:val="none" w:sz="0" w:space="0" w:color="auto"/>
        <w:right w:val="none" w:sz="0" w:space="0" w:color="auto"/>
      </w:divBdr>
    </w:div>
    <w:div w:id="1965959098">
      <w:bodyDiv w:val="1"/>
      <w:marLeft w:val="0"/>
      <w:marRight w:val="0"/>
      <w:marTop w:val="0"/>
      <w:marBottom w:val="0"/>
      <w:divBdr>
        <w:top w:val="none" w:sz="0" w:space="0" w:color="auto"/>
        <w:left w:val="none" w:sz="0" w:space="0" w:color="auto"/>
        <w:bottom w:val="none" w:sz="0" w:space="0" w:color="auto"/>
        <w:right w:val="none" w:sz="0" w:space="0" w:color="auto"/>
      </w:divBdr>
    </w:div>
    <w:div w:id="1975063519">
      <w:bodyDiv w:val="1"/>
      <w:marLeft w:val="0"/>
      <w:marRight w:val="0"/>
      <w:marTop w:val="0"/>
      <w:marBottom w:val="0"/>
      <w:divBdr>
        <w:top w:val="none" w:sz="0" w:space="0" w:color="auto"/>
        <w:left w:val="none" w:sz="0" w:space="0" w:color="auto"/>
        <w:bottom w:val="none" w:sz="0" w:space="0" w:color="auto"/>
        <w:right w:val="none" w:sz="0" w:space="0" w:color="auto"/>
      </w:divBdr>
    </w:div>
    <w:div w:id="1982150913">
      <w:bodyDiv w:val="1"/>
      <w:marLeft w:val="0"/>
      <w:marRight w:val="0"/>
      <w:marTop w:val="0"/>
      <w:marBottom w:val="0"/>
      <w:divBdr>
        <w:top w:val="none" w:sz="0" w:space="0" w:color="auto"/>
        <w:left w:val="none" w:sz="0" w:space="0" w:color="auto"/>
        <w:bottom w:val="none" w:sz="0" w:space="0" w:color="auto"/>
        <w:right w:val="none" w:sz="0" w:space="0" w:color="auto"/>
      </w:divBdr>
    </w:div>
    <w:div w:id="1988434489">
      <w:bodyDiv w:val="1"/>
      <w:marLeft w:val="0"/>
      <w:marRight w:val="0"/>
      <w:marTop w:val="0"/>
      <w:marBottom w:val="0"/>
      <w:divBdr>
        <w:top w:val="none" w:sz="0" w:space="0" w:color="auto"/>
        <w:left w:val="none" w:sz="0" w:space="0" w:color="auto"/>
        <w:bottom w:val="none" w:sz="0" w:space="0" w:color="auto"/>
        <w:right w:val="none" w:sz="0" w:space="0" w:color="auto"/>
      </w:divBdr>
    </w:div>
    <w:div w:id="2006782440">
      <w:bodyDiv w:val="1"/>
      <w:marLeft w:val="0"/>
      <w:marRight w:val="0"/>
      <w:marTop w:val="0"/>
      <w:marBottom w:val="0"/>
      <w:divBdr>
        <w:top w:val="none" w:sz="0" w:space="0" w:color="auto"/>
        <w:left w:val="none" w:sz="0" w:space="0" w:color="auto"/>
        <w:bottom w:val="none" w:sz="0" w:space="0" w:color="auto"/>
        <w:right w:val="none" w:sz="0" w:space="0" w:color="auto"/>
      </w:divBdr>
    </w:div>
    <w:div w:id="2008750807">
      <w:bodyDiv w:val="1"/>
      <w:marLeft w:val="0"/>
      <w:marRight w:val="0"/>
      <w:marTop w:val="0"/>
      <w:marBottom w:val="0"/>
      <w:divBdr>
        <w:top w:val="none" w:sz="0" w:space="0" w:color="auto"/>
        <w:left w:val="none" w:sz="0" w:space="0" w:color="auto"/>
        <w:bottom w:val="none" w:sz="0" w:space="0" w:color="auto"/>
        <w:right w:val="none" w:sz="0" w:space="0" w:color="auto"/>
      </w:divBdr>
    </w:div>
    <w:div w:id="2024014912">
      <w:bodyDiv w:val="1"/>
      <w:marLeft w:val="0"/>
      <w:marRight w:val="0"/>
      <w:marTop w:val="0"/>
      <w:marBottom w:val="0"/>
      <w:divBdr>
        <w:top w:val="none" w:sz="0" w:space="0" w:color="auto"/>
        <w:left w:val="none" w:sz="0" w:space="0" w:color="auto"/>
        <w:bottom w:val="none" w:sz="0" w:space="0" w:color="auto"/>
        <w:right w:val="none" w:sz="0" w:space="0" w:color="auto"/>
      </w:divBdr>
    </w:div>
    <w:div w:id="2025938737">
      <w:bodyDiv w:val="1"/>
      <w:marLeft w:val="0"/>
      <w:marRight w:val="0"/>
      <w:marTop w:val="0"/>
      <w:marBottom w:val="0"/>
      <w:divBdr>
        <w:top w:val="none" w:sz="0" w:space="0" w:color="auto"/>
        <w:left w:val="none" w:sz="0" w:space="0" w:color="auto"/>
        <w:bottom w:val="none" w:sz="0" w:space="0" w:color="auto"/>
        <w:right w:val="none" w:sz="0" w:space="0" w:color="auto"/>
      </w:divBdr>
    </w:div>
    <w:div w:id="2030913867">
      <w:bodyDiv w:val="1"/>
      <w:marLeft w:val="0"/>
      <w:marRight w:val="0"/>
      <w:marTop w:val="0"/>
      <w:marBottom w:val="0"/>
      <w:divBdr>
        <w:top w:val="none" w:sz="0" w:space="0" w:color="auto"/>
        <w:left w:val="none" w:sz="0" w:space="0" w:color="auto"/>
        <w:bottom w:val="none" w:sz="0" w:space="0" w:color="auto"/>
        <w:right w:val="none" w:sz="0" w:space="0" w:color="auto"/>
      </w:divBdr>
    </w:div>
    <w:div w:id="2045861094">
      <w:bodyDiv w:val="1"/>
      <w:marLeft w:val="0"/>
      <w:marRight w:val="0"/>
      <w:marTop w:val="0"/>
      <w:marBottom w:val="0"/>
      <w:divBdr>
        <w:top w:val="none" w:sz="0" w:space="0" w:color="auto"/>
        <w:left w:val="none" w:sz="0" w:space="0" w:color="auto"/>
        <w:bottom w:val="none" w:sz="0" w:space="0" w:color="auto"/>
        <w:right w:val="none" w:sz="0" w:space="0" w:color="auto"/>
      </w:divBdr>
    </w:div>
    <w:div w:id="2074083521">
      <w:bodyDiv w:val="1"/>
      <w:marLeft w:val="0"/>
      <w:marRight w:val="0"/>
      <w:marTop w:val="0"/>
      <w:marBottom w:val="0"/>
      <w:divBdr>
        <w:top w:val="none" w:sz="0" w:space="0" w:color="auto"/>
        <w:left w:val="none" w:sz="0" w:space="0" w:color="auto"/>
        <w:bottom w:val="none" w:sz="0" w:space="0" w:color="auto"/>
        <w:right w:val="none" w:sz="0" w:space="0" w:color="auto"/>
      </w:divBdr>
    </w:div>
    <w:div w:id="2074352936">
      <w:bodyDiv w:val="1"/>
      <w:marLeft w:val="0"/>
      <w:marRight w:val="0"/>
      <w:marTop w:val="0"/>
      <w:marBottom w:val="0"/>
      <w:divBdr>
        <w:top w:val="none" w:sz="0" w:space="0" w:color="auto"/>
        <w:left w:val="none" w:sz="0" w:space="0" w:color="auto"/>
        <w:bottom w:val="none" w:sz="0" w:space="0" w:color="auto"/>
        <w:right w:val="none" w:sz="0" w:space="0" w:color="auto"/>
      </w:divBdr>
    </w:div>
    <w:div w:id="2076395881">
      <w:bodyDiv w:val="1"/>
      <w:marLeft w:val="0"/>
      <w:marRight w:val="0"/>
      <w:marTop w:val="0"/>
      <w:marBottom w:val="0"/>
      <w:divBdr>
        <w:top w:val="none" w:sz="0" w:space="0" w:color="auto"/>
        <w:left w:val="none" w:sz="0" w:space="0" w:color="auto"/>
        <w:bottom w:val="none" w:sz="0" w:space="0" w:color="auto"/>
        <w:right w:val="none" w:sz="0" w:space="0" w:color="auto"/>
      </w:divBdr>
    </w:div>
    <w:div w:id="21388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Rocio.Puentes\OneDrive%20-%20ADRES\Documentos\2024\8.%20AGOSTO\05082024\Plantilla-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49EEDC9995A448A9E341265EF3BFDC" ma:contentTypeVersion="2" ma:contentTypeDescription="Crear nuevo documento." ma:contentTypeScope="" ma:versionID="04a910ed4f5f7779e23e43dc71465e36">
  <xsd:schema xmlns:xsd="http://www.w3.org/2001/XMLSchema" xmlns:xs="http://www.w3.org/2001/XMLSchema" xmlns:p="http://schemas.microsoft.com/office/2006/metadata/properties" xmlns:ns1="http://schemas.microsoft.com/sharepoint/v3" xmlns:ns2="5b63cd12-9a8a-4e54-be72-90651e442c90" targetNamespace="http://schemas.microsoft.com/office/2006/metadata/properties" ma:root="true" ma:fieldsID="5fcba1d9539ded79eb231e80a0219183" ns1:_="" ns2:_="">
    <xsd:import namespace="http://schemas.microsoft.com/sharepoint/v3"/>
    <xsd:import namespace="5b63cd12-9a8a-4e54-be72-90651e442c9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63cd12-9a8a-4e54-be72-90651e442c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2742B-75CF-42E8-85E2-58653D15142B}">
  <ds:schemaRefs>
    <ds:schemaRef ds:uri="http://schemas.microsoft.com/office/2006/metadata/properties"/>
    <ds:schemaRef ds:uri="http://schemas.microsoft.com/office/infopath/2007/PartnerControls"/>
    <ds:schemaRef ds:uri="a7a201d7-05e9-4b68-b225-d31a8da3054b"/>
    <ds:schemaRef ds:uri="e3f7a39d-ea0a-4972-9a33-d72889b20979"/>
  </ds:schemaRefs>
</ds:datastoreItem>
</file>

<file path=customXml/itemProps2.xml><?xml version="1.0" encoding="utf-8"?>
<ds:datastoreItem xmlns:ds="http://schemas.openxmlformats.org/officeDocument/2006/customXml" ds:itemID="{FD66F81D-4593-44F1-BFDE-6D9DE05743A8}"/>
</file>

<file path=customXml/itemProps3.xml><?xml version="1.0" encoding="utf-8"?>
<ds:datastoreItem xmlns:ds="http://schemas.openxmlformats.org/officeDocument/2006/customXml" ds:itemID="{6E2AC3FF-7AC0-49AA-9211-A038252F7971}">
  <ds:schemaRefs>
    <ds:schemaRef ds:uri="http://schemas.openxmlformats.org/officeDocument/2006/bibliography"/>
  </ds:schemaRefs>
</ds:datastoreItem>
</file>

<file path=customXml/itemProps4.xml><?xml version="1.0" encoding="utf-8"?>
<ds:datastoreItem xmlns:ds="http://schemas.openxmlformats.org/officeDocument/2006/customXml" ds:itemID="{9C480683-CFAE-48C0-8B25-4DD706BE9B9D}">
  <ds:schemaRefs>
    <ds:schemaRef ds:uri="http://schemas.microsoft.com/sharepoint/v3/contenttype/forms"/>
  </ds:schemaRefs>
</ds:datastoreItem>
</file>

<file path=docMetadata/LabelInfo.xml><?xml version="1.0" encoding="utf-8"?>
<clbl:labelList xmlns:clbl="http://schemas.microsoft.com/office/2020/mipLabelMetadata">
  <clbl:label id="{806240d0-3ba3-4102-984c-4f5d6f1b3bc4}" enabled="0" method="" siteId="{806240d0-3ba3-4102-984c-4f5d6f1b3bc4}" removed="1"/>
</clbl:labelList>
</file>

<file path=docProps/app.xml><?xml version="1.0" encoding="utf-8"?>
<Properties xmlns="http://schemas.openxmlformats.org/officeDocument/2006/extended-properties" xmlns:vt="http://schemas.openxmlformats.org/officeDocument/2006/docPropsVTypes">
  <Template>Plantilla-Resolucion.dotx</Template>
  <TotalTime>7</TotalTime>
  <Pages>6</Pages>
  <Words>2542</Words>
  <Characters>13985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Haiyibe Rocío Puentes Becerra</dc:creator>
  <cp:keywords/>
  <dc:description/>
  <cp:lastModifiedBy>Dirección de Liquidaciones y Garantías</cp:lastModifiedBy>
  <cp:revision>2</cp:revision>
  <cp:lastPrinted>2023-12-04T17:03:00Z</cp:lastPrinted>
  <dcterms:created xsi:type="dcterms:W3CDTF">2024-12-04T14:26:00Z</dcterms:created>
  <dcterms:modified xsi:type="dcterms:W3CDTF">2024-12-04T14:26:00Z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0x010100F149EEDC9995A448A9E341265EF3BFDC</vt:lpwstr>
  </property>
</Properties>
</file>